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36F" w:rsidRDefault="00DF2533">
      <w:pPr>
        <w:spacing w:before="743" w:after="119"/>
        <w:ind w:left="1843"/>
        <w:rPr>
          <w:b/>
          <w:color w:val="0080A0"/>
          <w:sz w:val="96"/>
          <w:szCs w:val="96"/>
        </w:rPr>
      </w:pPr>
      <w:r>
        <w:rPr>
          <w:b/>
          <w:noProof/>
          <w:color w:val="0080A0"/>
          <w:sz w:val="96"/>
          <w:szCs w:val="96"/>
        </w:rPr>
        <w:drawing>
          <wp:anchor distT="0" distB="0" distL="0" distR="0" simplePos="0" relativeHeight="4" behindDoc="1" locked="0" layoutInCell="1" allowOverlap="1">
            <wp:simplePos x="0" y="0"/>
            <wp:positionH relativeFrom="column">
              <wp:posOffset>0</wp:posOffset>
            </wp:positionH>
            <wp:positionV relativeFrom="page">
              <wp:posOffset>0</wp:posOffset>
            </wp:positionV>
            <wp:extent cx="5081270" cy="38100"/>
            <wp:effectExtent l="0" t="0" r="0" b="0"/>
            <wp:wrapSquare wrapText="bothSides"/>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pic:blipFill>
                  <pic:spPr>
                    <a:xfrm>
                      <a:off x="0" y="0"/>
                      <a:ext cx="5080680" cy="37440"/>
                    </a:xfrm>
                    <a:prstGeom prst="rect">
                      <a:avLst/>
                    </a:prstGeom>
                    <a:ln>
                      <a:noFill/>
                    </a:ln>
                  </pic:spPr>
                </pic:pic>
              </a:graphicData>
            </a:graphic>
          </wp:anchor>
        </w:drawing>
      </w:r>
      <w:r>
        <w:rPr>
          <w:b/>
          <w:noProof/>
          <w:color w:val="0080A0"/>
          <w:sz w:val="96"/>
          <w:szCs w:val="96"/>
        </w:rPr>
        <w:drawing>
          <wp:anchor distT="0" distB="0" distL="0" distR="0" simplePos="0" relativeHeight="33" behindDoc="1" locked="0" layoutInCell="1" allowOverlap="1">
            <wp:simplePos x="0" y="0"/>
            <wp:positionH relativeFrom="column">
              <wp:posOffset>0</wp:posOffset>
            </wp:positionH>
            <wp:positionV relativeFrom="page">
              <wp:posOffset>0</wp:posOffset>
            </wp:positionV>
            <wp:extent cx="6187440" cy="31115"/>
            <wp:effectExtent l="0" t="0" r="0" b="0"/>
            <wp:wrapSquare wrapText="bothSides"/>
            <wp:docPr id="2" name="Image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pic:blipFill>
                  <pic:spPr>
                    <a:xfrm>
                      <a:off x="0" y="0"/>
                      <a:ext cx="6186960" cy="30600"/>
                    </a:xfrm>
                    <a:prstGeom prst="rect">
                      <a:avLst/>
                    </a:prstGeom>
                    <a:ln>
                      <a:noFill/>
                    </a:ln>
                  </pic:spPr>
                </pic:pic>
              </a:graphicData>
            </a:graphic>
          </wp:anchor>
        </w:drawing>
      </w:r>
      <w:r>
        <w:rPr>
          <w:b/>
          <w:noProof/>
          <w:color w:val="0080A0"/>
          <w:sz w:val="96"/>
          <w:szCs w:val="96"/>
        </w:rPr>
        <w:drawing>
          <wp:anchor distT="0" distB="0" distL="0" distR="0" simplePos="0" relativeHeight="12" behindDoc="1" locked="0" layoutInCell="1" allowOverlap="1">
            <wp:simplePos x="0" y="0"/>
            <wp:positionH relativeFrom="column">
              <wp:posOffset>0</wp:posOffset>
            </wp:positionH>
            <wp:positionV relativeFrom="page">
              <wp:posOffset>0</wp:posOffset>
            </wp:positionV>
            <wp:extent cx="5080635" cy="37465"/>
            <wp:effectExtent l="0" t="0" r="0" b="0"/>
            <wp:wrapSquare wrapText="bothSides"/>
            <wp:docPr id="3" name="Image 3"/>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stretch/>
                  </pic:blipFill>
                  <pic:spPr>
                    <a:xfrm>
                      <a:off x="0" y="0"/>
                      <a:ext cx="5079960" cy="36720"/>
                    </a:xfrm>
                    <a:prstGeom prst="rect">
                      <a:avLst/>
                    </a:prstGeom>
                    <a:ln>
                      <a:noFill/>
                    </a:ln>
                  </pic:spPr>
                </pic:pic>
              </a:graphicData>
            </a:graphic>
          </wp:anchor>
        </w:drawing>
      </w:r>
      <w:r>
        <w:rPr>
          <w:b/>
          <w:noProof/>
          <w:color w:val="0080A0"/>
          <w:sz w:val="96"/>
          <w:szCs w:val="96"/>
        </w:rPr>
        <w:drawing>
          <wp:anchor distT="0" distB="0" distL="0" distR="0" simplePos="0" relativeHeight="10" behindDoc="1" locked="0" layoutInCell="1" allowOverlap="1">
            <wp:simplePos x="0" y="0"/>
            <wp:positionH relativeFrom="column">
              <wp:posOffset>0</wp:posOffset>
            </wp:positionH>
            <wp:positionV relativeFrom="page">
              <wp:posOffset>0</wp:posOffset>
            </wp:positionV>
            <wp:extent cx="6188075" cy="31115"/>
            <wp:effectExtent l="0" t="0" r="0" b="0"/>
            <wp:wrapSquare wrapText="bothSides"/>
            <wp:docPr id="4" name="Image 4"/>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stretch/>
                  </pic:blipFill>
                  <pic:spPr>
                    <a:xfrm>
                      <a:off x="0" y="0"/>
                      <a:ext cx="6187320" cy="30600"/>
                    </a:xfrm>
                    <a:prstGeom prst="rect">
                      <a:avLst/>
                    </a:prstGeom>
                    <a:ln>
                      <a:noFill/>
                    </a:ln>
                  </pic:spPr>
                </pic:pic>
              </a:graphicData>
            </a:graphic>
          </wp:anchor>
        </w:drawing>
      </w:r>
      <w:r>
        <w:rPr>
          <w:b/>
          <w:noProof/>
          <w:color w:val="0080A0"/>
          <w:sz w:val="96"/>
          <w:szCs w:val="96"/>
        </w:rPr>
        <w:drawing>
          <wp:anchor distT="0" distB="0" distL="0" distR="0" simplePos="0" relativeHeight="8" behindDoc="1" locked="0" layoutInCell="1" allowOverlap="1">
            <wp:simplePos x="0" y="0"/>
            <wp:positionH relativeFrom="column">
              <wp:posOffset>0</wp:posOffset>
            </wp:positionH>
            <wp:positionV relativeFrom="page">
              <wp:posOffset>0</wp:posOffset>
            </wp:positionV>
            <wp:extent cx="5081270" cy="36830"/>
            <wp:effectExtent l="0" t="0" r="0" b="0"/>
            <wp:wrapSquare wrapText="bothSides"/>
            <wp:docPr id="5" name="Image 5"/>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stretch/>
                  </pic:blipFill>
                  <pic:spPr>
                    <a:xfrm>
                      <a:off x="0" y="0"/>
                      <a:ext cx="5080680" cy="36360"/>
                    </a:xfrm>
                    <a:prstGeom prst="rect">
                      <a:avLst/>
                    </a:prstGeom>
                    <a:ln>
                      <a:noFill/>
                    </a:ln>
                  </pic:spPr>
                </pic:pic>
              </a:graphicData>
            </a:graphic>
          </wp:anchor>
        </w:drawing>
      </w:r>
      <w:r>
        <w:rPr>
          <w:b/>
          <w:noProof/>
          <w:color w:val="0080A0"/>
          <w:sz w:val="96"/>
          <w:szCs w:val="96"/>
        </w:rPr>
        <w:drawing>
          <wp:anchor distT="0" distB="0" distL="0" distR="0" simplePos="0" relativeHeight="2" behindDoc="1" locked="0" layoutInCell="1" allowOverlap="1">
            <wp:simplePos x="0" y="0"/>
            <wp:positionH relativeFrom="column">
              <wp:posOffset>0</wp:posOffset>
            </wp:positionH>
            <wp:positionV relativeFrom="page">
              <wp:posOffset>0</wp:posOffset>
            </wp:positionV>
            <wp:extent cx="6188710" cy="31115"/>
            <wp:effectExtent l="0" t="0" r="0" b="0"/>
            <wp:wrapSquare wrapText="bothSides"/>
            <wp:docPr id="6" name="Image 6"/>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stretch/>
                  </pic:blipFill>
                  <pic:spPr>
                    <a:xfrm>
                      <a:off x="0" y="0"/>
                      <a:ext cx="6188040" cy="30600"/>
                    </a:xfrm>
                    <a:prstGeom prst="rect">
                      <a:avLst/>
                    </a:prstGeom>
                    <a:ln>
                      <a:noFill/>
                    </a:ln>
                  </pic:spPr>
                </pic:pic>
              </a:graphicData>
            </a:graphic>
          </wp:anchor>
        </w:drawing>
      </w:r>
      <w:r>
        <w:rPr>
          <w:b/>
          <w:noProof/>
          <w:color w:val="0080A0"/>
          <w:sz w:val="96"/>
          <w:szCs w:val="96"/>
        </w:rPr>
        <w:drawing>
          <wp:anchor distT="0" distB="0" distL="0" distR="0" simplePos="0" relativeHeight="34" behindDoc="1" locked="0" layoutInCell="1" allowOverlap="1">
            <wp:simplePos x="0" y="0"/>
            <wp:positionH relativeFrom="column">
              <wp:posOffset>0</wp:posOffset>
            </wp:positionH>
            <wp:positionV relativeFrom="page">
              <wp:posOffset>0</wp:posOffset>
            </wp:positionV>
            <wp:extent cx="5080635" cy="36830"/>
            <wp:effectExtent l="0" t="0" r="0" b="0"/>
            <wp:wrapSquare wrapText="bothSides"/>
            <wp:docPr id="7" name="Image 7"/>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7"/>
                    <a:stretch/>
                  </pic:blipFill>
                  <pic:spPr>
                    <a:xfrm>
                      <a:off x="0" y="0"/>
                      <a:ext cx="5079960" cy="36360"/>
                    </a:xfrm>
                    <a:prstGeom prst="rect">
                      <a:avLst/>
                    </a:prstGeom>
                    <a:ln>
                      <a:noFill/>
                    </a:ln>
                  </pic:spPr>
                </pic:pic>
              </a:graphicData>
            </a:graphic>
          </wp:anchor>
        </w:drawing>
      </w:r>
      <w:r>
        <w:rPr>
          <w:b/>
          <w:noProof/>
          <w:color w:val="0080A0"/>
          <w:sz w:val="96"/>
          <w:szCs w:val="96"/>
        </w:rPr>
        <w:drawing>
          <wp:anchor distT="0" distB="0" distL="0" distR="0" simplePos="0" relativeHeight="6" behindDoc="1" locked="0" layoutInCell="1" allowOverlap="1">
            <wp:simplePos x="0" y="0"/>
            <wp:positionH relativeFrom="column">
              <wp:posOffset>0</wp:posOffset>
            </wp:positionH>
            <wp:positionV relativeFrom="page">
              <wp:posOffset>0</wp:posOffset>
            </wp:positionV>
            <wp:extent cx="6187440" cy="31115"/>
            <wp:effectExtent l="0" t="0" r="0" b="0"/>
            <wp:wrapSquare wrapText="bothSides"/>
            <wp:docPr id="8" name="Image 8"/>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a:stretch/>
                  </pic:blipFill>
                  <pic:spPr>
                    <a:xfrm>
                      <a:off x="0" y="0"/>
                      <a:ext cx="6186960" cy="30600"/>
                    </a:xfrm>
                    <a:prstGeom prst="rect">
                      <a:avLst/>
                    </a:prstGeom>
                    <a:ln>
                      <a:noFill/>
                    </a:ln>
                  </pic:spPr>
                </pic:pic>
              </a:graphicData>
            </a:graphic>
          </wp:anchor>
        </w:drawing>
      </w:r>
      <w:r>
        <w:rPr>
          <w:b/>
          <w:noProof/>
          <w:color w:val="0080A0"/>
          <w:sz w:val="96"/>
          <w:szCs w:val="96"/>
        </w:rPr>
        <w:drawing>
          <wp:anchor distT="0" distB="0" distL="114300" distR="114300" simplePos="0" relativeHeight="11" behindDoc="0" locked="0" layoutInCell="1" allowOverlap="1">
            <wp:simplePos x="0" y="0"/>
            <wp:positionH relativeFrom="column">
              <wp:posOffset>-265430</wp:posOffset>
            </wp:positionH>
            <wp:positionV relativeFrom="page">
              <wp:posOffset>0</wp:posOffset>
            </wp:positionV>
            <wp:extent cx="6187440" cy="30480"/>
            <wp:effectExtent l="0" t="0" r="0" b="0"/>
            <wp:wrapSquare wrapText="bothSides"/>
            <wp:docPr id="9" nam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5"/>
                    <pic:cNvPicPr>
                      <a:picLocks noChangeAspect="1" noChangeArrowheads="1"/>
                    </pic:cNvPicPr>
                  </pic:nvPicPr>
                  <pic:blipFill>
                    <a:blip r:embed="rId8"/>
                    <a:stretch>
                      <a:fillRect/>
                    </a:stretch>
                  </pic:blipFill>
                  <pic:spPr bwMode="auto">
                    <a:xfrm>
                      <a:off x="0" y="0"/>
                      <a:ext cx="6187440" cy="30480"/>
                    </a:xfrm>
                    <a:prstGeom prst="rect">
                      <a:avLst/>
                    </a:prstGeom>
                  </pic:spPr>
                </pic:pic>
              </a:graphicData>
            </a:graphic>
          </wp:anchor>
        </w:drawing>
      </w:r>
      <w:r>
        <w:rPr>
          <w:b/>
          <w:noProof/>
          <w:color w:val="0080A0"/>
          <w:sz w:val="96"/>
          <w:szCs w:val="96"/>
        </w:rPr>
        <w:drawing>
          <wp:anchor distT="0" distB="0" distL="114300" distR="114300" simplePos="0" relativeHeight="9" behindDoc="0" locked="0" layoutInCell="1" allowOverlap="1">
            <wp:simplePos x="0" y="0"/>
            <wp:positionH relativeFrom="column">
              <wp:posOffset>0</wp:posOffset>
            </wp:positionH>
            <wp:positionV relativeFrom="page">
              <wp:posOffset>0</wp:posOffset>
            </wp:positionV>
            <wp:extent cx="5080635" cy="36195"/>
            <wp:effectExtent l="0" t="0" r="0" b="0"/>
            <wp:wrapSquare wrapText="bothSides"/>
            <wp:docPr id="10" nam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2"/>
                    <pic:cNvPicPr>
                      <a:picLocks noChangeAspect="1" noChangeArrowheads="1"/>
                    </pic:cNvPicPr>
                  </pic:nvPicPr>
                  <pic:blipFill>
                    <a:blip r:embed="rId7"/>
                    <a:stretch>
                      <a:fillRect/>
                    </a:stretch>
                  </pic:blipFill>
                  <pic:spPr bwMode="auto">
                    <a:xfrm>
                      <a:off x="0" y="0"/>
                      <a:ext cx="5080635" cy="36195"/>
                    </a:xfrm>
                    <a:prstGeom prst="rect">
                      <a:avLst/>
                    </a:prstGeom>
                  </pic:spPr>
                </pic:pic>
              </a:graphicData>
            </a:graphic>
          </wp:anchor>
        </w:drawing>
      </w:r>
      <w:r>
        <w:rPr>
          <w:b/>
          <w:noProof/>
          <w:color w:val="0080A0"/>
          <w:sz w:val="96"/>
          <w:szCs w:val="96"/>
        </w:rPr>
        <w:drawing>
          <wp:anchor distT="0" distB="0" distL="114300" distR="114300" simplePos="0" relativeHeight="7" behindDoc="0" locked="0" layoutInCell="1" allowOverlap="1">
            <wp:simplePos x="0" y="0"/>
            <wp:positionH relativeFrom="column">
              <wp:posOffset>0</wp:posOffset>
            </wp:positionH>
            <wp:positionV relativeFrom="page">
              <wp:posOffset>0</wp:posOffset>
            </wp:positionV>
            <wp:extent cx="6186805" cy="30480"/>
            <wp:effectExtent l="0" t="0" r="0" b="0"/>
            <wp:wrapSquare wrapText="bothSides"/>
            <wp:docPr id="11" nam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1"/>
                    <pic:cNvPicPr>
                      <a:picLocks noChangeAspect="1" noChangeArrowheads="1"/>
                    </pic:cNvPicPr>
                  </pic:nvPicPr>
                  <pic:blipFill>
                    <a:blip r:embed="rId8"/>
                    <a:stretch>
                      <a:fillRect/>
                    </a:stretch>
                  </pic:blipFill>
                  <pic:spPr bwMode="auto">
                    <a:xfrm>
                      <a:off x="0" y="0"/>
                      <a:ext cx="6186805" cy="30480"/>
                    </a:xfrm>
                    <a:prstGeom prst="rect">
                      <a:avLst/>
                    </a:prstGeom>
                  </pic:spPr>
                </pic:pic>
              </a:graphicData>
            </a:graphic>
          </wp:anchor>
        </w:drawing>
      </w:r>
      <w:r>
        <w:rPr>
          <w:b/>
          <w:noProof/>
          <w:color w:val="0080A0"/>
          <w:sz w:val="96"/>
          <w:szCs w:val="96"/>
        </w:rPr>
        <w:drawing>
          <wp:anchor distT="0" distB="0" distL="114300" distR="114300" simplePos="0" relativeHeight="5" behindDoc="0" locked="0" layoutInCell="1" allowOverlap="1">
            <wp:simplePos x="0" y="0"/>
            <wp:positionH relativeFrom="column">
              <wp:posOffset>0</wp:posOffset>
            </wp:positionH>
            <wp:positionV relativeFrom="page">
              <wp:posOffset>0</wp:posOffset>
            </wp:positionV>
            <wp:extent cx="5080635" cy="37465"/>
            <wp:effectExtent l="0" t="0" r="0" b="0"/>
            <wp:wrapSquare wrapText="bothSides"/>
            <wp:docPr id="12" nam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8"/>
                    <pic:cNvPicPr>
                      <a:picLocks noChangeAspect="1" noChangeArrowheads="1"/>
                    </pic:cNvPicPr>
                  </pic:nvPicPr>
                  <pic:blipFill>
                    <a:blip r:embed="rId7"/>
                    <a:stretch>
                      <a:fillRect/>
                    </a:stretch>
                  </pic:blipFill>
                  <pic:spPr bwMode="auto">
                    <a:xfrm>
                      <a:off x="0" y="0"/>
                      <a:ext cx="5080635" cy="37465"/>
                    </a:xfrm>
                    <a:prstGeom prst="rect">
                      <a:avLst/>
                    </a:prstGeom>
                  </pic:spPr>
                </pic:pic>
              </a:graphicData>
            </a:graphic>
          </wp:anchor>
        </w:drawing>
      </w:r>
      <w:r>
        <w:rPr>
          <w:b/>
          <w:noProof/>
          <w:color w:val="0080A0"/>
          <w:sz w:val="96"/>
          <w:szCs w:val="96"/>
        </w:rPr>
        <w:drawing>
          <wp:anchor distT="0" distB="0" distL="114300" distR="114300" simplePos="0" relativeHeight="3" behindDoc="0" locked="0" layoutInCell="1" allowOverlap="1">
            <wp:simplePos x="0" y="0"/>
            <wp:positionH relativeFrom="column">
              <wp:posOffset>0</wp:posOffset>
            </wp:positionH>
            <wp:positionV relativeFrom="page">
              <wp:posOffset>0</wp:posOffset>
            </wp:positionV>
            <wp:extent cx="6188075" cy="30480"/>
            <wp:effectExtent l="0" t="0" r="0" b="0"/>
            <wp:wrapSquare wrapText="bothSides"/>
            <wp:docPr id="13" nam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7"/>
                    <pic:cNvPicPr>
                      <a:picLocks noChangeAspect="1" noChangeArrowheads="1"/>
                    </pic:cNvPicPr>
                  </pic:nvPicPr>
                  <pic:blipFill>
                    <a:blip r:embed="rId8"/>
                    <a:stretch>
                      <a:fillRect/>
                    </a:stretch>
                  </pic:blipFill>
                  <pic:spPr bwMode="auto">
                    <a:xfrm>
                      <a:off x="0" y="0"/>
                      <a:ext cx="6188075" cy="30480"/>
                    </a:xfrm>
                    <a:prstGeom prst="rect">
                      <a:avLst/>
                    </a:prstGeom>
                  </pic:spPr>
                </pic:pic>
              </a:graphicData>
            </a:graphic>
          </wp:anchor>
        </w:drawing>
      </w:r>
      <w:r>
        <w:rPr>
          <w:b/>
          <w:color w:val="0080A0"/>
          <w:sz w:val="96"/>
          <w:szCs w:val="96"/>
        </w:rPr>
        <w:t>PLAN CLIMAT</w:t>
      </w:r>
    </w:p>
    <w:p w:rsidR="0019036F" w:rsidRDefault="00DF2533">
      <w:pPr>
        <w:ind w:left="1843"/>
        <w:jc w:val="center"/>
        <w:rPr>
          <w:rFonts w:ascii="Trebuchet MS" w:hAnsi="Trebuchet MS"/>
          <w:b/>
          <w:bCs/>
          <w:color w:val="0080A0"/>
          <w:sz w:val="40"/>
          <w:szCs w:val="40"/>
        </w:rPr>
      </w:pPr>
      <w:r>
        <w:rPr>
          <w:rFonts w:ascii="Trebuchet MS" w:hAnsi="Trebuchet MS"/>
          <w:b/>
          <w:bCs/>
          <w:color w:val="0080A0"/>
          <w:sz w:val="40"/>
          <w:szCs w:val="40"/>
        </w:rPr>
        <w:t>Atelier d’élaboration de propositions – Energies nouvelles- 4 juin 2019</w:t>
      </w:r>
    </w:p>
    <w:p w:rsidR="0019036F" w:rsidRDefault="00DF2533">
      <w:pPr>
        <w:ind w:left="113"/>
        <w:rPr>
          <w:rFonts w:ascii="Trebuchet MS" w:hAnsi="Trebuchet MS"/>
          <w:bCs/>
          <w:color w:val="0080A0"/>
          <w:szCs w:val="22"/>
        </w:rPr>
      </w:pPr>
      <w:r>
        <w:rPr>
          <w:rFonts w:ascii="Trebuchet MS" w:hAnsi="Trebuchet MS"/>
          <w:bCs/>
          <w:color w:val="0080A0"/>
          <w:szCs w:val="22"/>
        </w:rPr>
        <w:t xml:space="preserve">Réunis le </w:t>
      </w:r>
      <w:r w:rsidR="002E2536">
        <w:rPr>
          <w:rFonts w:ascii="Trebuchet MS" w:hAnsi="Trebuchet MS"/>
          <w:bCs/>
          <w:color w:val="0080A0"/>
          <w:szCs w:val="22"/>
        </w:rPr>
        <w:t>4 juin</w:t>
      </w:r>
      <w:bookmarkStart w:id="0" w:name="_GoBack"/>
      <w:bookmarkEnd w:id="0"/>
      <w:r>
        <w:rPr>
          <w:rFonts w:ascii="Trebuchet MS" w:hAnsi="Trebuchet MS"/>
          <w:bCs/>
          <w:color w:val="0080A0"/>
          <w:szCs w:val="22"/>
        </w:rPr>
        <w:t xml:space="preserve"> 2019, les participants du Club Climat ont émis les propositions suivantes :</w:t>
      </w:r>
    </w:p>
    <w:p w:rsidR="00E85D83" w:rsidRDefault="00E85D83">
      <w:pPr>
        <w:ind w:left="113"/>
        <w:rPr>
          <w:rFonts w:ascii="Trebuchet MS" w:hAnsi="Trebuchet MS"/>
          <w:bCs/>
          <w:color w:val="0080A0"/>
          <w:szCs w:val="22"/>
        </w:rPr>
      </w:pPr>
    </w:p>
    <w:p w:rsidR="0019036F" w:rsidRDefault="00DF2533">
      <w:pPr>
        <w:pStyle w:val="Titre2"/>
        <w:spacing w:before="68" w:after="68" w:line="216" w:lineRule="auto"/>
        <w:ind w:left="113" w:firstLine="0"/>
        <w:rPr>
          <w:b/>
          <w:iCs/>
          <w:color w:val="579D1C"/>
          <w:sz w:val="36"/>
          <w:szCs w:val="36"/>
        </w:rPr>
      </w:pPr>
      <w:r>
        <w:rPr>
          <w:b/>
          <w:iCs/>
          <w:color w:val="579D1C"/>
          <w:sz w:val="36"/>
          <w:szCs w:val="36"/>
        </w:rPr>
        <w:t>Sensibiliser les élus et le grand public sur les énergies renouvelables et les économies d'énergie</w:t>
      </w:r>
    </w:p>
    <w:p w:rsidR="0019036F" w:rsidRPr="00E85D83" w:rsidRDefault="00DF2533">
      <w:pPr>
        <w:pStyle w:val="Listedepuce"/>
        <w:numPr>
          <w:ilvl w:val="0"/>
          <w:numId w:val="3"/>
        </w:numPr>
        <w:rPr>
          <w:rFonts w:ascii="Arial" w:hAnsi="Arial" w:cs="Arial"/>
          <w:szCs w:val="22"/>
        </w:rPr>
      </w:pPr>
      <w:r w:rsidRPr="00E85D83">
        <w:rPr>
          <w:rFonts w:ascii="Arial" w:hAnsi="Arial" w:cs="Arial"/>
          <w:szCs w:val="22"/>
        </w:rPr>
        <w:t xml:space="preserve">Vulgariser et diffuser le scénario </w:t>
      </w:r>
      <w:r w:rsidR="009077C0">
        <w:rPr>
          <w:rFonts w:ascii="Arial" w:hAnsi="Arial" w:cs="Arial"/>
          <w:szCs w:val="22"/>
        </w:rPr>
        <w:t>N</w:t>
      </w:r>
      <w:r w:rsidRPr="00E85D83">
        <w:rPr>
          <w:rFonts w:ascii="Arial" w:hAnsi="Arial" w:cs="Arial"/>
          <w:szCs w:val="22"/>
        </w:rPr>
        <w:t xml:space="preserve">égawatt de transition énergétique </w:t>
      </w:r>
      <w:r w:rsidR="009077C0">
        <w:rPr>
          <w:rFonts w:ascii="Arial" w:hAnsi="Arial" w:cs="Arial"/>
          <w:szCs w:val="22"/>
        </w:rPr>
        <w:t xml:space="preserve">- </w:t>
      </w:r>
      <w:r w:rsidRPr="00E85D83">
        <w:rPr>
          <w:rFonts w:ascii="Arial" w:hAnsi="Arial" w:cs="Arial"/>
          <w:szCs w:val="22"/>
        </w:rPr>
        <w:t>notamment auprès des élus.</w:t>
      </w:r>
    </w:p>
    <w:p w:rsidR="0019036F" w:rsidRPr="00E85D83" w:rsidRDefault="00DF2533">
      <w:pPr>
        <w:pStyle w:val="Listedepuce"/>
        <w:numPr>
          <w:ilvl w:val="0"/>
          <w:numId w:val="3"/>
        </w:numPr>
        <w:rPr>
          <w:rFonts w:ascii="Arial" w:hAnsi="Arial" w:cs="Arial"/>
          <w:szCs w:val="22"/>
        </w:rPr>
      </w:pPr>
      <w:r w:rsidRPr="00E85D83">
        <w:rPr>
          <w:rFonts w:ascii="Arial" w:hAnsi="Arial" w:cs="Arial"/>
          <w:szCs w:val="22"/>
        </w:rPr>
        <w:t>Organiser des conférences sur le climat et les ressources énergétiques pour sensibiliser le grand public et les élus aux impacts de nos consommations.</w:t>
      </w:r>
    </w:p>
    <w:p w:rsidR="0019036F" w:rsidRPr="00E85D83" w:rsidRDefault="00DF2533">
      <w:pPr>
        <w:pStyle w:val="Listedepuce"/>
        <w:numPr>
          <w:ilvl w:val="0"/>
          <w:numId w:val="3"/>
        </w:numPr>
        <w:rPr>
          <w:rFonts w:ascii="Arial" w:hAnsi="Arial" w:cs="Arial"/>
          <w:iCs/>
          <w:color w:val="000000"/>
          <w:szCs w:val="22"/>
          <w:lang w:eastAsia="fr-FR"/>
        </w:rPr>
      </w:pPr>
      <w:r w:rsidRPr="00E85D83">
        <w:rPr>
          <w:rFonts w:ascii="Arial" w:hAnsi="Arial" w:cs="Arial"/>
          <w:iCs/>
          <w:color w:val="000000"/>
          <w:szCs w:val="22"/>
          <w:lang w:eastAsia="fr-FR"/>
        </w:rPr>
        <w:t>Lancer des défis entre les collectivités pour qu'elles deviennent des territoires à énergie positive.</w:t>
      </w:r>
    </w:p>
    <w:p w:rsidR="0019036F" w:rsidRPr="00E85D83" w:rsidRDefault="00DF2533">
      <w:pPr>
        <w:pStyle w:val="Listedepuce"/>
        <w:numPr>
          <w:ilvl w:val="0"/>
          <w:numId w:val="3"/>
        </w:numPr>
        <w:rPr>
          <w:rFonts w:ascii="Arial" w:hAnsi="Arial" w:cs="Arial"/>
          <w:szCs w:val="22"/>
        </w:rPr>
      </w:pPr>
      <w:r w:rsidRPr="00E85D83">
        <w:rPr>
          <w:rFonts w:ascii="Arial" w:hAnsi="Arial" w:cs="Arial"/>
          <w:szCs w:val="22"/>
        </w:rPr>
        <w:t>Sensibiliser sur la pertinence des diagnostics</w:t>
      </w:r>
      <w:r w:rsidR="009077C0">
        <w:rPr>
          <w:rFonts w:ascii="Arial" w:hAnsi="Arial" w:cs="Arial"/>
          <w:szCs w:val="22"/>
        </w:rPr>
        <w:t xml:space="preserve"> -</w:t>
      </w:r>
      <w:r w:rsidRPr="00E85D83">
        <w:rPr>
          <w:rFonts w:ascii="Arial" w:hAnsi="Arial" w:cs="Arial"/>
          <w:szCs w:val="22"/>
        </w:rPr>
        <w:t xml:space="preserve"> notamment dans l'aide à la décision. Aider financièrement à la réalisation des diagnostics.</w:t>
      </w:r>
    </w:p>
    <w:p w:rsidR="0019036F" w:rsidRPr="00E85D83" w:rsidRDefault="00DF2533">
      <w:pPr>
        <w:pStyle w:val="Listedepuce"/>
        <w:numPr>
          <w:ilvl w:val="0"/>
          <w:numId w:val="3"/>
        </w:numPr>
        <w:rPr>
          <w:rFonts w:ascii="Arial" w:hAnsi="Arial" w:cs="Arial"/>
          <w:iCs/>
          <w:color w:val="000000"/>
          <w:szCs w:val="22"/>
          <w:lang w:eastAsia="fr-FR"/>
        </w:rPr>
      </w:pPr>
      <w:r w:rsidRPr="00E85D83">
        <w:rPr>
          <w:rFonts w:ascii="Arial" w:hAnsi="Arial" w:cs="Arial"/>
          <w:iCs/>
          <w:color w:val="000000"/>
          <w:szCs w:val="22"/>
          <w:lang w:eastAsia="fr-FR"/>
        </w:rPr>
        <w:t>Réaliser des diagnostics sur le bâti des collectivités afin d'identifier les déperditions énergétiques et les potentiels de production d'énergie renouvelables.</w:t>
      </w:r>
    </w:p>
    <w:p w:rsidR="0019036F" w:rsidRPr="00E85D83" w:rsidRDefault="00DF2533">
      <w:pPr>
        <w:pStyle w:val="Listedepuce"/>
        <w:numPr>
          <w:ilvl w:val="0"/>
          <w:numId w:val="3"/>
        </w:numPr>
        <w:rPr>
          <w:rFonts w:ascii="Arial" w:hAnsi="Arial" w:cs="Arial"/>
          <w:szCs w:val="22"/>
        </w:rPr>
      </w:pPr>
      <w:r w:rsidRPr="00E85D83">
        <w:rPr>
          <w:rFonts w:ascii="Arial" w:hAnsi="Arial" w:cs="Arial"/>
          <w:szCs w:val="22"/>
        </w:rPr>
        <w:t>Rénover l'éclairage public avec l'aide du SDEY (leds ou éclairage intelligent pour économiser l'énergie).</w:t>
      </w:r>
    </w:p>
    <w:p w:rsidR="0019036F" w:rsidRDefault="0019036F">
      <w:pPr>
        <w:pStyle w:val="Titre2"/>
        <w:spacing w:before="68" w:after="68" w:line="216" w:lineRule="auto"/>
        <w:ind w:left="113" w:firstLine="0"/>
        <w:rPr>
          <w:b/>
          <w:iCs/>
          <w:color w:val="579D1C"/>
          <w:sz w:val="36"/>
          <w:szCs w:val="36"/>
        </w:rPr>
      </w:pPr>
    </w:p>
    <w:p w:rsidR="0019036F" w:rsidRDefault="00DF2533">
      <w:pPr>
        <w:pStyle w:val="Titre2"/>
        <w:spacing w:before="68" w:after="68" w:line="216" w:lineRule="auto"/>
        <w:ind w:left="113" w:firstLine="0"/>
        <w:rPr>
          <w:b/>
          <w:iCs/>
          <w:color w:val="579D1C"/>
          <w:sz w:val="36"/>
          <w:szCs w:val="36"/>
        </w:rPr>
      </w:pPr>
      <w:r>
        <w:rPr>
          <w:b/>
          <w:iCs/>
          <w:color w:val="579D1C"/>
          <w:sz w:val="36"/>
          <w:szCs w:val="36"/>
        </w:rPr>
        <w:t>Favoriser la connaissance du potentiel des énergies renouvelables</w:t>
      </w:r>
    </w:p>
    <w:p w:rsidR="0019036F" w:rsidRPr="00E85D83" w:rsidRDefault="00DF2533">
      <w:pPr>
        <w:pStyle w:val="Listedepuce"/>
        <w:numPr>
          <w:ilvl w:val="0"/>
          <w:numId w:val="3"/>
        </w:numPr>
        <w:rPr>
          <w:rFonts w:ascii="Arial" w:hAnsi="Arial" w:cs="Arial"/>
          <w:szCs w:val="22"/>
        </w:rPr>
      </w:pPr>
      <w:r w:rsidRPr="00E85D83">
        <w:rPr>
          <w:rFonts w:ascii="Arial" w:hAnsi="Arial" w:cs="Arial"/>
          <w:szCs w:val="22"/>
        </w:rPr>
        <w:t>Informer sur l'intérêt des installations basées sur les énergies renouvelables et les retours sur investissement.</w:t>
      </w:r>
    </w:p>
    <w:p w:rsidR="0019036F" w:rsidRPr="00E85D83" w:rsidRDefault="00DF2533">
      <w:pPr>
        <w:pStyle w:val="Listedepuce"/>
        <w:numPr>
          <w:ilvl w:val="0"/>
          <w:numId w:val="3"/>
        </w:numPr>
        <w:rPr>
          <w:rFonts w:ascii="Arial" w:hAnsi="Arial" w:cs="Arial"/>
          <w:szCs w:val="22"/>
        </w:rPr>
      </w:pPr>
      <w:r w:rsidRPr="00E85D83">
        <w:rPr>
          <w:rFonts w:ascii="Arial" w:hAnsi="Arial" w:cs="Arial"/>
          <w:szCs w:val="22"/>
        </w:rPr>
        <w:t>Encourager la transition énergétique pour produire localement une part plus importante de l'énergie consommée.</w:t>
      </w:r>
    </w:p>
    <w:p w:rsidR="0019036F" w:rsidRPr="00E85D83" w:rsidRDefault="00DF2533">
      <w:pPr>
        <w:pStyle w:val="Listedepuce"/>
        <w:numPr>
          <w:ilvl w:val="0"/>
          <w:numId w:val="3"/>
        </w:numPr>
        <w:rPr>
          <w:rFonts w:ascii="Arial" w:hAnsi="Arial" w:cs="Arial"/>
          <w:szCs w:val="22"/>
        </w:rPr>
      </w:pPr>
      <w:r w:rsidRPr="00E85D83">
        <w:rPr>
          <w:rFonts w:ascii="Arial" w:hAnsi="Arial" w:cs="Arial"/>
          <w:szCs w:val="22"/>
        </w:rPr>
        <w:t>Utiliser les réseaux pour absorber la production décentralisée d'électricité.</w:t>
      </w:r>
    </w:p>
    <w:p w:rsidR="0019036F" w:rsidRPr="00E85D83" w:rsidRDefault="00DF2533">
      <w:pPr>
        <w:pStyle w:val="Listedepuce"/>
        <w:numPr>
          <w:ilvl w:val="0"/>
          <w:numId w:val="3"/>
        </w:numPr>
        <w:rPr>
          <w:rFonts w:ascii="Arial" w:hAnsi="Arial" w:cs="Arial"/>
          <w:szCs w:val="22"/>
        </w:rPr>
      </w:pPr>
      <w:r w:rsidRPr="00E85D83">
        <w:rPr>
          <w:rFonts w:ascii="Arial" w:hAnsi="Arial" w:cs="Arial"/>
          <w:szCs w:val="22"/>
        </w:rPr>
        <w:t>Informer les entreprises sur les potentialités et les retours sur investissement d'installations (notamment photovoltaïques, sur les toits, parkings, entrepôts, bâtiments...).</w:t>
      </w:r>
    </w:p>
    <w:p w:rsidR="0019036F" w:rsidRPr="00E85D83" w:rsidRDefault="00DF2533">
      <w:pPr>
        <w:pStyle w:val="Listedepuce"/>
        <w:numPr>
          <w:ilvl w:val="0"/>
          <w:numId w:val="3"/>
        </w:numPr>
        <w:rPr>
          <w:rFonts w:ascii="Arial" w:hAnsi="Arial" w:cs="Arial"/>
          <w:szCs w:val="22"/>
        </w:rPr>
      </w:pPr>
      <w:r w:rsidRPr="00E85D83">
        <w:rPr>
          <w:rFonts w:ascii="Arial" w:hAnsi="Arial" w:cs="Arial"/>
          <w:szCs w:val="22"/>
        </w:rPr>
        <w:t xml:space="preserve">Faire connaître le service du </w:t>
      </w:r>
      <w:r w:rsidR="009077C0">
        <w:rPr>
          <w:rFonts w:ascii="Arial" w:hAnsi="Arial" w:cs="Arial"/>
          <w:szCs w:val="22"/>
        </w:rPr>
        <w:t>S</w:t>
      </w:r>
      <w:r w:rsidRPr="00E85D83">
        <w:rPr>
          <w:rFonts w:ascii="Arial" w:hAnsi="Arial" w:cs="Arial"/>
          <w:szCs w:val="22"/>
        </w:rPr>
        <w:t>yndicat de l'énergie de l'Yonne pour les collectivités et les possibilités d'accompagnement</w:t>
      </w:r>
      <w:r w:rsidR="009077C0">
        <w:rPr>
          <w:rFonts w:ascii="Arial" w:hAnsi="Arial" w:cs="Arial"/>
          <w:szCs w:val="22"/>
        </w:rPr>
        <w:t xml:space="preserve"> qui peuvent leur être offertes</w:t>
      </w:r>
      <w:r w:rsidRPr="00E85D83">
        <w:rPr>
          <w:rFonts w:ascii="Arial" w:hAnsi="Arial" w:cs="Arial"/>
          <w:szCs w:val="22"/>
        </w:rPr>
        <w:t xml:space="preserve"> (notamment sur les chaufferies bois, solaire photovoltaïque...)</w:t>
      </w:r>
    </w:p>
    <w:p w:rsidR="0019036F" w:rsidRDefault="00DF2533">
      <w:pPr>
        <w:pStyle w:val="Titre2"/>
        <w:spacing w:before="68" w:after="68" w:line="216" w:lineRule="auto"/>
        <w:ind w:left="113" w:firstLine="0"/>
        <w:rPr>
          <w:b/>
          <w:iCs/>
          <w:color w:val="579D1C"/>
          <w:sz w:val="36"/>
          <w:szCs w:val="36"/>
        </w:rPr>
      </w:pPr>
      <w:r>
        <w:rPr>
          <w:b/>
          <w:iCs/>
          <w:color w:val="579D1C"/>
          <w:sz w:val="36"/>
          <w:szCs w:val="36"/>
        </w:rPr>
        <w:lastRenderedPageBreak/>
        <w:t>Sensibiliser le territoire, et développer le solaire thermique et photovoltaïque</w:t>
      </w:r>
    </w:p>
    <w:p w:rsidR="0019036F" w:rsidRDefault="0019036F">
      <w:pPr>
        <w:spacing w:after="160" w:line="252" w:lineRule="auto"/>
        <w:ind w:left="720"/>
        <w:jc w:val="left"/>
        <w:rPr>
          <w:rFonts w:ascii="Trebuchet MS" w:hAnsi="Trebuchet MS"/>
          <w:iCs/>
          <w:color w:val="595959"/>
          <w:sz w:val="24"/>
        </w:rPr>
      </w:pPr>
    </w:p>
    <w:p w:rsidR="0019036F" w:rsidRPr="009077C0" w:rsidRDefault="00DF2533">
      <w:pPr>
        <w:numPr>
          <w:ilvl w:val="0"/>
          <w:numId w:val="6"/>
        </w:numPr>
        <w:spacing w:after="160" w:line="252" w:lineRule="auto"/>
        <w:jc w:val="left"/>
        <w:rPr>
          <w:rFonts w:ascii="Trebuchet MS" w:hAnsi="Trebuchet MS"/>
          <w:b/>
          <w:bCs/>
          <w:iCs/>
          <w:color w:val="595959"/>
          <w:sz w:val="24"/>
        </w:rPr>
      </w:pPr>
      <w:r w:rsidRPr="009077C0">
        <w:rPr>
          <w:rFonts w:ascii="Trebuchet MS" w:hAnsi="Trebuchet MS"/>
          <w:b/>
          <w:bCs/>
          <w:iCs/>
          <w:color w:val="595959"/>
          <w:sz w:val="24"/>
        </w:rPr>
        <w:t xml:space="preserve">Sensibiliser </w:t>
      </w:r>
      <w:r w:rsidR="009077C0" w:rsidRPr="009077C0">
        <w:rPr>
          <w:rFonts w:ascii="Trebuchet MS" w:hAnsi="Trebuchet MS"/>
          <w:b/>
          <w:bCs/>
          <w:iCs/>
          <w:color w:val="595959"/>
          <w:sz w:val="24"/>
        </w:rPr>
        <w:t xml:space="preserve">les </w:t>
      </w:r>
      <w:r w:rsidRPr="009077C0">
        <w:rPr>
          <w:rFonts w:ascii="Trebuchet MS" w:hAnsi="Trebuchet MS"/>
          <w:b/>
          <w:bCs/>
          <w:iCs/>
          <w:color w:val="595959"/>
          <w:sz w:val="24"/>
        </w:rPr>
        <w:t xml:space="preserve">collectivités et </w:t>
      </w:r>
      <w:r w:rsidR="009077C0" w:rsidRPr="009077C0">
        <w:rPr>
          <w:rFonts w:ascii="Trebuchet MS" w:hAnsi="Trebuchet MS"/>
          <w:b/>
          <w:bCs/>
          <w:iCs/>
          <w:color w:val="595959"/>
          <w:sz w:val="24"/>
        </w:rPr>
        <w:t xml:space="preserve">les </w:t>
      </w:r>
      <w:r w:rsidRPr="009077C0">
        <w:rPr>
          <w:rFonts w:ascii="Trebuchet MS" w:hAnsi="Trebuchet MS"/>
          <w:b/>
          <w:bCs/>
          <w:iCs/>
          <w:color w:val="595959"/>
          <w:sz w:val="24"/>
        </w:rPr>
        <w:t>citoyens aux possibilités du solaire</w:t>
      </w:r>
    </w:p>
    <w:p w:rsidR="0019036F" w:rsidRPr="00E85D83" w:rsidRDefault="00DF2533">
      <w:pPr>
        <w:pStyle w:val="Listedepuce"/>
        <w:numPr>
          <w:ilvl w:val="0"/>
          <w:numId w:val="3"/>
        </w:numPr>
        <w:rPr>
          <w:rFonts w:ascii="Arial" w:hAnsi="Arial" w:cs="Arial"/>
          <w:szCs w:val="22"/>
        </w:rPr>
      </w:pPr>
      <w:r w:rsidRPr="00E85D83">
        <w:rPr>
          <w:rFonts w:ascii="Arial" w:hAnsi="Arial" w:cs="Arial"/>
          <w:szCs w:val="22"/>
        </w:rPr>
        <w:t>Sensibiliser les particuliers au solaire thermique sur le territoire, notamment dans les cas de rénovations.</w:t>
      </w:r>
    </w:p>
    <w:p w:rsidR="0019036F" w:rsidRPr="00E85D83" w:rsidRDefault="00DF2533">
      <w:pPr>
        <w:pStyle w:val="Listedepuce"/>
        <w:numPr>
          <w:ilvl w:val="0"/>
          <w:numId w:val="3"/>
        </w:numPr>
        <w:rPr>
          <w:rFonts w:ascii="Arial" w:hAnsi="Arial" w:cs="Arial"/>
          <w:szCs w:val="22"/>
        </w:rPr>
      </w:pPr>
      <w:r w:rsidRPr="00E85D83">
        <w:rPr>
          <w:rFonts w:ascii="Arial" w:hAnsi="Arial" w:cs="Arial"/>
          <w:szCs w:val="22"/>
        </w:rPr>
        <w:t>Sensibiliser les collectivités sur les possibilités du solaire thermique sur les équipements publics (piscine, gymnases...).</w:t>
      </w:r>
    </w:p>
    <w:p w:rsidR="0019036F" w:rsidRPr="00E85D83" w:rsidRDefault="00DF2533">
      <w:pPr>
        <w:pStyle w:val="Listedepuce"/>
        <w:numPr>
          <w:ilvl w:val="0"/>
          <w:numId w:val="3"/>
        </w:numPr>
        <w:rPr>
          <w:rFonts w:ascii="Arial" w:hAnsi="Arial" w:cs="Arial"/>
          <w:szCs w:val="22"/>
        </w:rPr>
      </w:pPr>
      <w:r w:rsidRPr="00E85D83">
        <w:rPr>
          <w:rFonts w:ascii="Arial" w:hAnsi="Arial" w:cs="Arial"/>
          <w:szCs w:val="22"/>
        </w:rPr>
        <w:t>Améliorer le patrimoine ancien avec des installations légères (photovoltaïques) pour sauvegarder la qualité du territoire.</w:t>
      </w:r>
    </w:p>
    <w:p w:rsidR="0019036F" w:rsidRDefault="0019036F">
      <w:pPr>
        <w:pStyle w:val="Listedepuce"/>
        <w:ind w:left="1080"/>
        <w:rPr>
          <w:rFonts w:ascii="Trebuchet MS" w:hAnsi="Trebuchet MS"/>
          <w:iCs/>
          <w:color w:val="595959"/>
          <w:sz w:val="24"/>
        </w:rPr>
      </w:pPr>
    </w:p>
    <w:p w:rsidR="0019036F" w:rsidRPr="009077C0" w:rsidRDefault="00DF2533" w:rsidP="009077C0">
      <w:pPr>
        <w:numPr>
          <w:ilvl w:val="0"/>
          <w:numId w:val="6"/>
        </w:numPr>
        <w:spacing w:after="160" w:line="252" w:lineRule="auto"/>
        <w:jc w:val="left"/>
        <w:rPr>
          <w:rFonts w:ascii="Trebuchet MS" w:hAnsi="Trebuchet MS"/>
          <w:b/>
          <w:bCs/>
          <w:iCs/>
          <w:color w:val="595959"/>
          <w:sz w:val="24"/>
        </w:rPr>
      </w:pPr>
      <w:r w:rsidRPr="009077C0">
        <w:rPr>
          <w:rFonts w:ascii="Trebuchet MS" w:hAnsi="Trebuchet MS"/>
          <w:b/>
          <w:bCs/>
          <w:iCs/>
          <w:color w:val="595959"/>
          <w:sz w:val="24"/>
        </w:rPr>
        <w:t>Accompagner le développement du solaire</w:t>
      </w:r>
    </w:p>
    <w:p w:rsidR="0019036F" w:rsidRPr="00E85D83" w:rsidRDefault="00DF2533">
      <w:pPr>
        <w:pStyle w:val="Listedepuce"/>
        <w:numPr>
          <w:ilvl w:val="0"/>
          <w:numId w:val="3"/>
        </w:numPr>
        <w:rPr>
          <w:rFonts w:ascii="Arial" w:hAnsi="Arial" w:cs="Arial"/>
          <w:szCs w:val="22"/>
        </w:rPr>
      </w:pPr>
      <w:r w:rsidRPr="00E85D83">
        <w:rPr>
          <w:rFonts w:ascii="Arial" w:hAnsi="Arial" w:cs="Arial"/>
          <w:szCs w:val="22"/>
        </w:rPr>
        <w:t>Réaliser un cadastre solaire dans le cadre du PLUi afin d'identifier les zones au plus fort potentiel.</w:t>
      </w:r>
    </w:p>
    <w:p w:rsidR="0019036F" w:rsidRPr="00E85D83" w:rsidRDefault="00DF2533">
      <w:pPr>
        <w:pStyle w:val="Listedepuce"/>
        <w:numPr>
          <w:ilvl w:val="0"/>
          <w:numId w:val="3"/>
        </w:numPr>
        <w:rPr>
          <w:rFonts w:ascii="Arial" w:hAnsi="Arial" w:cs="Arial"/>
          <w:szCs w:val="22"/>
        </w:rPr>
      </w:pPr>
      <w:r w:rsidRPr="00E85D83">
        <w:rPr>
          <w:rFonts w:ascii="Arial" w:hAnsi="Arial" w:cs="Arial"/>
          <w:szCs w:val="22"/>
        </w:rPr>
        <w:t>Soutenir financièrement les propriétaires pour les rénovations énergétiques, et notamment la mise en place du solaire.</w:t>
      </w:r>
    </w:p>
    <w:p w:rsidR="0019036F" w:rsidRPr="00E85D83" w:rsidRDefault="00DF2533">
      <w:pPr>
        <w:pStyle w:val="Listedepuce"/>
        <w:numPr>
          <w:ilvl w:val="0"/>
          <w:numId w:val="3"/>
        </w:numPr>
        <w:rPr>
          <w:rFonts w:ascii="Arial" w:hAnsi="Arial" w:cs="Arial"/>
          <w:szCs w:val="22"/>
        </w:rPr>
      </w:pPr>
      <w:r w:rsidRPr="00E85D83">
        <w:rPr>
          <w:rFonts w:ascii="Arial" w:hAnsi="Arial" w:cs="Arial"/>
          <w:szCs w:val="22"/>
        </w:rPr>
        <w:t xml:space="preserve">Conseiller les particuliers sur les panneaux photovoltaïques et la qualité des entreprises en valorisant les démarches de labellisation (RGE). </w:t>
      </w:r>
    </w:p>
    <w:p w:rsidR="0019036F" w:rsidRPr="00E85D83" w:rsidRDefault="00DF2533">
      <w:pPr>
        <w:pStyle w:val="Listedepuce"/>
        <w:numPr>
          <w:ilvl w:val="0"/>
          <w:numId w:val="3"/>
        </w:numPr>
        <w:rPr>
          <w:rFonts w:ascii="Arial" w:hAnsi="Arial" w:cs="Arial"/>
          <w:szCs w:val="22"/>
        </w:rPr>
      </w:pPr>
      <w:r w:rsidRPr="00E85D83">
        <w:rPr>
          <w:rFonts w:ascii="Arial" w:hAnsi="Arial" w:cs="Arial"/>
          <w:szCs w:val="22"/>
        </w:rPr>
        <w:t>Rénover les toitures des bâtiments historiques avec des panneaux voltaïques bien intégrer dans le bâti (ou des tuiles patrimoniales, cf. Florence).</w:t>
      </w:r>
    </w:p>
    <w:p w:rsidR="0019036F" w:rsidRPr="00E85D83" w:rsidRDefault="00DF2533">
      <w:pPr>
        <w:pStyle w:val="Listedepuce"/>
        <w:numPr>
          <w:ilvl w:val="0"/>
          <w:numId w:val="3"/>
        </w:numPr>
        <w:rPr>
          <w:rFonts w:ascii="Arial" w:hAnsi="Arial" w:cs="Arial"/>
          <w:szCs w:val="22"/>
        </w:rPr>
      </w:pPr>
      <w:r w:rsidRPr="00E85D83">
        <w:rPr>
          <w:rFonts w:ascii="Arial" w:hAnsi="Arial" w:cs="Arial"/>
          <w:szCs w:val="22"/>
        </w:rPr>
        <w:t>Editer des guides pratiques sur l'intégration du photovoltaïque dans le patrimoine ancien.</w:t>
      </w:r>
    </w:p>
    <w:p w:rsidR="0019036F" w:rsidRDefault="0019036F">
      <w:pPr>
        <w:pStyle w:val="Listedepuce"/>
        <w:ind w:left="1080"/>
        <w:rPr>
          <w:rFonts w:ascii="Trebuchet MS" w:hAnsi="Trebuchet MS"/>
          <w:iCs/>
          <w:color w:val="000000"/>
          <w:sz w:val="20"/>
          <w:szCs w:val="20"/>
          <w:lang w:eastAsia="fr-FR"/>
        </w:rPr>
      </w:pPr>
    </w:p>
    <w:p w:rsidR="0019036F" w:rsidRDefault="00DF2533">
      <w:pPr>
        <w:spacing w:before="283" w:after="113"/>
        <w:rPr>
          <w:rFonts w:ascii="Trebuchet MS" w:hAnsi="Trebuchet MS" w:cs="Calibri Light"/>
          <w:b/>
          <w:bCs/>
          <w:iCs/>
          <w:color w:val="000000"/>
          <w:sz w:val="28"/>
          <w:szCs w:val="28"/>
        </w:rPr>
      </w:pPr>
      <w:r>
        <w:rPr>
          <w:rFonts w:ascii="Trebuchet MS" w:hAnsi="Trebuchet MS" w:cs="Calibri Light"/>
          <w:b/>
          <w:bCs/>
          <w:iCs/>
          <w:color w:val="000000"/>
          <w:sz w:val="28"/>
          <w:szCs w:val="28"/>
        </w:rPr>
        <w:t>RAPPEL : contributions de la réunion du 13 mars et du forum en ligne</w:t>
      </w:r>
    </w:p>
    <w:p w:rsidR="0019036F" w:rsidRDefault="00DF2533">
      <w:pPr>
        <w:pStyle w:val="Listedepuce"/>
        <w:ind w:left="1080"/>
        <w:rPr>
          <w:rFonts w:ascii="Trebuchet MS" w:hAnsi="Trebuchet MS"/>
          <w:b/>
          <w:bCs/>
          <w:iCs/>
          <w:color w:val="595959"/>
          <w:sz w:val="24"/>
        </w:rPr>
      </w:pPr>
      <w:r>
        <w:rPr>
          <w:rFonts w:ascii="Trebuchet MS" w:hAnsi="Trebuchet MS"/>
          <w:b/>
          <w:bCs/>
          <w:iCs/>
          <w:color w:val="595959"/>
          <w:sz w:val="24"/>
        </w:rPr>
        <w:t>Stratégie et incitation</w:t>
      </w:r>
    </w:p>
    <w:p w:rsidR="0019036F" w:rsidRDefault="00DF2533">
      <w:pPr>
        <w:pStyle w:val="Listedepuce"/>
        <w:numPr>
          <w:ilvl w:val="0"/>
          <w:numId w:val="2"/>
        </w:numPr>
      </w:pPr>
      <w:r>
        <w:t>Utiliser le PLUi pour favoriser le développement des ENR.</w:t>
      </w:r>
    </w:p>
    <w:p w:rsidR="0019036F" w:rsidRDefault="00DF2533">
      <w:pPr>
        <w:pStyle w:val="Listedepuce"/>
        <w:numPr>
          <w:ilvl w:val="0"/>
          <w:numId w:val="2"/>
        </w:numPr>
        <w:rPr>
          <w:rFonts w:ascii="Arial" w:hAnsi="Arial"/>
          <w:iCs/>
          <w:color w:val="111111"/>
        </w:rPr>
      </w:pPr>
      <w:r>
        <w:rPr>
          <w:rFonts w:ascii="Arial" w:hAnsi="Arial"/>
          <w:iCs/>
          <w:color w:val="111111"/>
        </w:rPr>
        <w:t xml:space="preserve">Fixer des objectifs à atteindre en matière d'autonomie énergétique pour : les particuliers ; les entreprises ; les communes ; la communauté de commune. </w:t>
      </w:r>
    </w:p>
    <w:p w:rsidR="0019036F" w:rsidRDefault="00DF2533">
      <w:pPr>
        <w:pStyle w:val="Listedepuce"/>
        <w:numPr>
          <w:ilvl w:val="0"/>
          <w:numId w:val="2"/>
        </w:numPr>
        <w:rPr>
          <w:rFonts w:ascii="Arial" w:hAnsi="Arial"/>
          <w:iCs/>
          <w:color w:val="111111"/>
          <w:szCs w:val="22"/>
        </w:rPr>
      </w:pPr>
      <w:r>
        <w:rPr>
          <w:rFonts w:ascii="Arial" w:hAnsi="Arial"/>
          <w:iCs/>
          <w:color w:val="111111"/>
          <w:szCs w:val="22"/>
        </w:rPr>
        <w:t>Poser des jalons pour devenir un territoire à énergie positive.</w:t>
      </w:r>
    </w:p>
    <w:p w:rsidR="0019036F" w:rsidRDefault="0019036F">
      <w:pPr>
        <w:pStyle w:val="Listedepuce"/>
        <w:ind w:left="1080"/>
      </w:pPr>
    </w:p>
    <w:p w:rsidR="0019036F" w:rsidRDefault="00DF2533">
      <w:pPr>
        <w:pStyle w:val="Listedepuce"/>
        <w:ind w:left="1080"/>
        <w:rPr>
          <w:rFonts w:ascii="Trebuchet MS" w:hAnsi="Trebuchet MS"/>
          <w:b/>
          <w:bCs/>
          <w:iCs/>
          <w:color w:val="595959"/>
          <w:sz w:val="24"/>
        </w:rPr>
      </w:pPr>
      <w:r>
        <w:rPr>
          <w:rFonts w:ascii="Trebuchet MS" w:hAnsi="Trebuchet MS"/>
          <w:b/>
          <w:bCs/>
          <w:iCs/>
          <w:color w:val="595959"/>
          <w:sz w:val="24"/>
        </w:rPr>
        <w:t>Énergie solaire</w:t>
      </w:r>
    </w:p>
    <w:p w:rsidR="0019036F" w:rsidRDefault="00DF2533">
      <w:pPr>
        <w:pStyle w:val="Listedepuce"/>
        <w:numPr>
          <w:ilvl w:val="0"/>
          <w:numId w:val="2"/>
        </w:numPr>
      </w:pPr>
      <w:r>
        <w:t>Mener une étude d'opportunité pour le développement de l'énergie solaire sur le territoire.</w:t>
      </w:r>
    </w:p>
    <w:p w:rsidR="0019036F" w:rsidRDefault="00DF2533">
      <w:pPr>
        <w:pStyle w:val="Listedepuce"/>
        <w:numPr>
          <w:ilvl w:val="0"/>
          <w:numId w:val="2"/>
        </w:numPr>
      </w:pPr>
      <w:r>
        <w:t>Étudier le cycle de vie des panneaux photovoltaïques, notamment vis-à-vis de la rareté des matériaux nécessaires.</w:t>
      </w:r>
    </w:p>
    <w:p w:rsidR="0019036F" w:rsidRDefault="00DF2533">
      <w:pPr>
        <w:pStyle w:val="Listedepuce"/>
        <w:numPr>
          <w:ilvl w:val="0"/>
          <w:numId w:val="2"/>
        </w:numPr>
      </w:pPr>
      <w:r>
        <w:t>Privilégier des solutions qui offrent plusieurs utilités (ombrière photovoltaïque).</w:t>
      </w:r>
    </w:p>
    <w:p w:rsidR="0019036F" w:rsidRDefault="00DF2533">
      <w:pPr>
        <w:pStyle w:val="Listedepuce"/>
        <w:numPr>
          <w:ilvl w:val="0"/>
          <w:numId w:val="2"/>
        </w:numPr>
      </w:pPr>
      <w:r>
        <w:t>Développer les panneaux solaires sur les bâtiments agricoles.</w:t>
      </w:r>
    </w:p>
    <w:p w:rsidR="0019036F" w:rsidRDefault="0019036F">
      <w:pPr>
        <w:pStyle w:val="Titre2"/>
        <w:spacing w:before="68" w:after="68" w:line="216" w:lineRule="auto"/>
        <w:ind w:left="113" w:firstLine="0"/>
        <w:rPr>
          <w:b/>
          <w:iCs/>
          <w:color w:val="579D1C"/>
          <w:sz w:val="36"/>
          <w:szCs w:val="36"/>
        </w:rPr>
      </w:pPr>
    </w:p>
    <w:p w:rsidR="0019036F" w:rsidRDefault="00DF2533">
      <w:pPr>
        <w:pStyle w:val="Titre2"/>
        <w:spacing w:before="68" w:after="68" w:line="216" w:lineRule="auto"/>
        <w:ind w:left="113" w:firstLine="0"/>
        <w:rPr>
          <w:b/>
          <w:iCs/>
          <w:color w:val="579D1C"/>
          <w:sz w:val="36"/>
          <w:szCs w:val="36"/>
        </w:rPr>
      </w:pPr>
      <w:r>
        <w:br w:type="page"/>
      </w:r>
    </w:p>
    <w:p w:rsidR="0019036F" w:rsidRDefault="00DF2533">
      <w:pPr>
        <w:pStyle w:val="Titre2"/>
        <w:spacing w:before="68" w:after="68" w:line="216" w:lineRule="auto"/>
        <w:ind w:left="113" w:firstLine="0"/>
        <w:rPr>
          <w:b/>
          <w:iCs/>
          <w:color w:val="579D1C"/>
          <w:sz w:val="36"/>
          <w:szCs w:val="36"/>
        </w:rPr>
      </w:pPr>
      <w:r>
        <w:rPr>
          <w:b/>
          <w:iCs/>
          <w:color w:val="579D1C"/>
          <w:sz w:val="36"/>
          <w:szCs w:val="36"/>
        </w:rPr>
        <w:lastRenderedPageBreak/>
        <w:t>Mieux valoriser la biomasse</w:t>
      </w:r>
    </w:p>
    <w:p w:rsidR="009077C0" w:rsidRDefault="009077C0" w:rsidP="009077C0">
      <w:pPr>
        <w:spacing w:after="160" w:line="252" w:lineRule="auto"/>
        <w:ind w:left="720"/>
        <w:jc w:val="left"/>
        <w:rPr>
          <w:rFonts w:ascii="Trebuchet MS" w:hAnsi="Trebuchet MS"/>
          <w:b/>
          <w:bCs/>
          <w:iCs/>
          <w:color w:val="595959"/>
          <w:sz w:val="24"/>
        </w:rPr>
      </w:pPr>
    </w:p>
    <w:p w:rsidR="0019036F" w:rsidRPr="009077C0" w:rsidRDefault="00DF2533">
      <w:pPr>
        <w:numPr>
          <w:ilvl w:val="0"/>
          <w:numId w:val="4"/>
        </w:numPr>
        <w:spacing w:after="160" w:line="252" w:lineRule="auto"/>
        <w:jc w:val="left"/>
        <w:rPr>
          <w:rFonts w:ascii="Trebuchet MS" w:hAnsi="Trebuchet MS"/>
          <w:b/>
          <w:bCs/>
          <w:iCs/>
          <w:color w:val="595959"/>
          <w:sz w:val="24"/>
        </w:rPr>
      </w:pPr>
      <w:r w:rsidRPr="009077C0">
        <w:rPr>
          <w:rFonts w:ascii="Trebuchet MS" w:hAnsi="Trebuchet MS"/>
          <w:b/>
          <w:bCs/>
          <w:iCs/>
          <w:color w:val="595959"/>
          <w:sz w:val="24"/>
        </w:rPr>
        <w:t>Optimiser les installations et valoriser le bois de chauffe</w:t>
      </w:r>
    </w:p>
    <w:p w:rsidR="0019036F" w:rsidRPr="00E85D83" w:rsidRDefault="00DF2533" w:rsidP="00E85D83">
      <w:pPr>
        <w:pStyle w:val="Listedepuce"/>
        <w:numPr>
          <w:ilvl w:val="0"/>
          <w:numId w:val="3"/>
        </w:numPr>
        <w:rPr>
          <w:rFonts w:ascii="Arial" w:hAnsi="Arial" w:cs="Arial"/>
          <w:szCs w:val="22"/>
        </w:rPr>
      </w:pPr>
      <w:r w:rsidRPr="00E85D83">
        <w:rPr>
          <w:rFonts w:ascii="Arial" w:hAnsi="Arial" w:cs="Arial"/>
          <w:szCs w:val="22"/>
        </w:rPr>
        <w:t>Cibler principalement les ménages qui disposent d'une cuve au fioul pour encourager à choisir du chauffage au bois performant.</w:t>
      </w:r>
    </w:p>
    <w:p w:rsidR="0019036F" w:rsidRPr="00E85D83" w:rsidRDefault="00DF2533" w:rsidP="00E85D83">
      <w:pPr>
        <w:pStyle w:val="Listedepuce"/>
        <w:numPr>
          <w:ilvl w:val="0"/>
          <w:numId w:val="3"/>
        </w:numPr>
        <w:rPr>
          <w:rFonts w:ascii="Arial" w:hAnsi="Arial" w:cs="Arial"/>
          <w:szCs w:val="22"/>
        </w:rPr>
      </w:pPr>
      <w:r w:rsidRPr="00E85D83">
        <w:rPr>
          <w:rFonts w:ascii="Arial" w:hAnsi="Arial" w:cs="Arial"/>
          <w:szCs w:val="22"/>
        </w:rPr>
        <w:t xml:space="preserve">Sensibiliser sur la pollution </w:t>
      </w:r>
      <w:r w:rsidR="009077C0">
        <w:rPr>
          <w:rFonts w:ascii="Arial" w:hAnsi="Arial" w:cs="Arial"/>
          <w:szCs w:val="22"/>
        </w:rPr>
        <w:t xml:space="preserve">produites par </w:t>
      </w:r>
      <w:r w:rsidRPr="00E85D83">
        <w:rPr>
          <w:rFonts w:ascii="Arial" w:hAnsi="Arial" w:cs="Arial"/>
          <w:szCs w:val="22"/>
        </w:rPr>
        <w:t>des cheminées ouvertes (émission de particules fines). Encourager le remplacement avec des po</w:t>
      </w:r>
      <w:r w:rsidR="009077C0">
        <w:rPr>
          <w:rFonts w:ascii="Arial" w:hAnsi="Arial" w:cs="Arial"/>
          <w:szCs w:val="22"/>
        </w:rPr>
        <w:t>êl</w:t>
      </w:r>
      <w:r w:rsidRPr="00E85D83">
        <w:rPr>
          <w:rFonts w:ascii="Arial" w:hAnsi="Arial" w:cs="Arial"/>
          <w:szCs w:val="22"/>
        </w:rPr>
        <w:t>es à double combustion (meilleur rendement, moins de particules fines).</w:t>
      </w:r>
    </w:p>
    <w:p w:rsidR="0019036F" w:rsidRDefault="0019036F">
      <w:pPr>
        <w:spacing w:after="0" w:line="254" w:lineRule="auto"/>
        <w:ind w:left="1080"/>
        <w:jc w:val="left"/>
        <w:rPr>
          <w:rFonts w:ascii="Trebuchet MS" w:hAnsi="Trebuchet MS"/>
          <w:sz w:val="20"/>
          <w:szCs w:val="20"/>
        </w:rPr>
      </w:pPr>
    </w:p>
    <w:p w:rsidR="0019036F" w:rsidRPr="009077C0" w:rsidRDefault="00DF2533">
      <w:pPr>
        <w:numPr>
          <w:ilvl w:val="0"/>
          <w:numId w:val="4"/>
        </w:numPr>
        <w:spacing w:after="160" w:line="252" w:lineRule="auto"/>
        <w:jc w:val="left"/>
        <w:rPr>
          <w:rFonts w:ascii="Trebuchet MS" w:hAnsi="Trebuchet MS"/>
          <w:b/>
          <w:bCs/>
          <w:iCs/>
          <w:color w:val="595959"/>
          <w:sz w:val="24"/>
        </w:rPr>
      </w:pPr>
      <w:r w:rsidRPr="009077C0">
        <w:rPr>
          <w:rFonts w:ascii="Trebuchet MS" w:hAnsi="Trebuchet MS"/>
          <w:b/>
          <w:bCs/>
          <w:iCs/>
          <w:color w:val="595959"/>
          <w:sz w:val="24"/>
        </w:rPr>
        <w:t>Travailler avec les élus et la filière pour une meilleure gestion de la forêt</w:t>
      </w:r>
    </w:p>
    <w:p w:rsidR="0019036F" w:rsidRPr="00E85D83" w:rsidRDefault="00DF2533" w:rsidP="00E85D83">
      <w:pPr>
        <w:pStyle w:val="Listedepuce"/>
        <w:numPr>
          <w:ilvl w:val="0"/>
          <w:numId w:val="3"/>
        </w:numPr>
        <w:rPr>
          <w:rFonts w:ascii="Arial" w:hAnsi="Arial" w:cs="Arial"/>
          <w:szCs w:val="22"/>
        </w:rPr>
      </w:pPr>
      <w:r w:rsidRPr="00E85D83">
        <w:rPr>
          <w:rFonts w:ascii="Arial" w:hAnsi="Arial" w:cs="Arial"/>
          <w:szCs w:val="22"/>
        </w:rPr>
        <w:t xml:space="preserve">Sensibiliser </w:t>
      </w:r>
      <w:r w:rsidR="009077C0">
        <w:rPr>
          <w:rFonts w:ascii="Arial" w:hAnsi="Arial" w:cs="Arial"/>
          <w:szCs w:val="22"/>
        </w:rPr>
        <w:t xml:space="preserve">les </w:t>
      </w:r>
      <w:r w:rsidRPr="00E85D83">
        <w:rPr>
          <w:rFonts w:ascii="Arial" w:hAnsi="Arial" w:cs="Arial"/>
          <w:szCs w:val="22"/>
        </w:rPr>
        <w:t>entreprises de vente de bois pour diminuer le degré d'humidité du bois afin de limiter les émissions de particules fines dans l'atmosphère (cheminées ouvertes).</w:t>
      </w:r>
    </w:p>
    <w:p w:rsidR="0019036F" w:rsidRPr="00E85D83" w:rsidRDefault="00DF2533" w:rsidP="00E85D83">
      <w:pPr>
        <w:pStyle w:val="Listedepuce"/>
        <w:numPr>
          <w:ilvl w:val="0"/>
          <w:numId w:val="3"/>
        </w:numPr>
        <w:rPr>
          <w:rFonts w:ascii="Arial" w:hAnsi="Arial" w:cs="Arial"/>
          <w:szCs w:val="22"/>
        </w:rPr>
      </w:pPr>
      <w:r w:rsidRPr="00E85D83">
        <w:rPr>
          <w:rFonts w:ascii="Arial" w:hAnsi="Arial" w:cs="Arial"/>
          <w:szCs w:val="22"/>
        </w:rPr>
        <w:t>Valoriser l'ensemble des « déchets » de la filière bois et les installations qui peuvent les utiliser (poêles à double combustion, permet d'utiliser les petites branches).</w:t>
      </w:r>
    </w:p>
    <w:p w:rsidR="0019036F" w:rsidRPr="00E85D83" w:rsidRDefault="00DF2533" w:rsidP="00E85D83">
      <w:pPr>
        <w:pStyle w:val="Listedepuce"/>
        <w:numPr>
          <w:ilvl w:val="0"/>
          <w:numId w:val="3"/>
        </w:numPr>
        <w:rPr>
          <w:rFonts w:ascii="Arial" w:hAnsi="Arial" w:cs="Arial"/>
          <w:szCs w:val="22"/>
        </w:rPr>
      </w:pPr>
      <w:r w:rsidRPr="00E85D83">
        <w:rPr>
          <w:rFonts w:ascii="Arial" w:hAnsi="Arial" w:cs="Arial"/>
          <w:szCs w:val="22"/>
        </w:rPr>
        <w:t>Sensibiliser et organiser des formations pour les élus et les techniciens sur la gestion différenciée de la forêt et l'analyse des plans de gestion forestiers.</w:t>
      </w:r>
    </w:p>
    <w:p w:rsidR="0019036F" w:rsidRPr="00E85D83" w:rsidRDefault="00DF2533" w:rsidP="00E85D83">
      <w:pPr>
        <w:pStyle w:val="Listedepuce"/>
        <w:numPr>
          <w:ilvl w:val="0"/>
          <w:numId w:val="3"/>
        </w:numPr>
        <w:rPr>
          <w:rFonts w:ascii="Arial" w:hAnsi="Arial" w:cs="Arial"/>
          <w:szCs w:val="22"/>
        </w:rPr>
      </w:pPr>
      <w:r w:rsidRPr="00E85D83">
        <w:rPr>
          <w:rFonts w:ascii="Arial" w:hAnsi="Arial" w:cs="Arial"/>
          <w:szCs w:val="22"/>
        </w:rPr>
        <w:t>Organiser un débat sur la forêt avec les pouvoirs publics, les citoyens, et revoir la gestion forestière.</w:t>
      </w:r>
    </w:p>
    <w:p w:rsidR="0019036F" w:rsidRPr="00E85D83" w:rsidRDefault="00DF2533" w:rsidP="00E85D83">
      <w:pPr>
        <w:pStyle w:val="Listedepuce"/>
        <w:numPr>
          <w:ilvl w:val="0"/>
          <w:numId w:val="3"/>
        </w:numPr>
        <w:rPr>
          <w:rFonts w:ascii="Arial" w:hAnsi="Arial" w:cs="Arial"/>
          <w:szCs w:val="22"/>
        </w:rPr>
      </w:pPr>
      <w:r w:rsidRPr="00E85D83">
        <w:rPr>
          <w:rFonts w:ascii="Arial" w:hAnsi="Arial" w:cs="Arial"/>
          <w:szCs w:val="22"/>
        </w:rPr>
        <w:t>Etudier le potentiel de la filière déchets ligneux en étant vigilant sur les conflits d'usage sur la biomasse (agriculture, énergie).</w:t>
      </w:r>
    </w:p>
    <w:p w:rsidR="0019036F" w:rsidRDefault="00DF2533">
      <w:pPr>
        <w:spacing w:before="283" w:after="113"/>
        <w:rPr>
          <w:rFonts w:ascii="Trebuchet MS" w:hAnsi="Trebuchet MS" w:cs="Calibri Light"/>
          <w:b/>
          <w:bCs/>
          <w:iCs/>
          <w:color w:val="000000"/>
          <w:sz w:val="28"/>
          <w:szCs w:val="28"/>
        </w:rPr>
      </w:pPr>
      <w:r>
        <w:rPr>
          <w:rFonts w:ascii="Trebuchet MS" w:hAnsi="Trebuchet MS" w:cs="Calibri Light"/>
          <w:b/>
          <w:bCs/>
          <w:iCs/>
          <w:color w:val="000000"/>
          <w:sz w:val="28"/>
          <w:szCs w:val="28"/>
        </w:rPr>
        <w:t>RAPPEL : contributions de la réunion du 13 mars et du forum en ligne</w:t>
      </w:r>
    </w:p>
    <w:p w:rsidR="0019036F" w:rsidRDefault="00DF2533">
      <w:pPr>
        <w:spacing w:after="160" w:line="256" w:lineRule="auto"/>
        <w:ind w:left="1080"/>
        <w:jc w:val="left"/>
        <w:rPr>
          <w:rFonts w:ascii="Trebuchet MS" w:hAnsi="Trebuchet MS"/>
          <w:b/>
          <w:bCs/>
          <w:iCs/>
          <w:color w:val="595959"/>
          <w:sz w:val="24"/>
        </w:rPr>
      </w:pPr>
      <w:r>
        <w:rPr>
          <w:rFonts w:ascii="Trebuchet MS" w:hAnsi="Trebuchet MS"/>
          <w:b/>
          <w:bCs/>
          <w:iCs/>
          <w:color w:val="595959"/>
          <w:sz w:val="24"/>
        </w:rPr>
        <w:t>Biomasse</w:t>
      </w:r>
    </w:p>
    <w:p w:rsidR="0019036F" w:rsidRDefault="00DF2533">
      <w:pPr>
        <w:pStyle w:val="Listedepuce"/>
        <w:numPr>
          <w:ilvl w:val="0"/>
          <w:numId w:val="2"/>
        </w:numPr>
      </w:pPr>
      <w:r>
        <w:t>Développer la filière bois locale.</w:t>
      </w:r>
    </w:p>
    <w:p w:rsidR="0019036F" w:rsidRDefault="00DF2533">
      <w:pPr>
        <w:pStyle w:val="Listedepuce"/>
        <w:numPr>
          <w:ilvl w:val="0"/>
          <w:numId w:val="2"/>
        </w:numPr>
      </w:pPr>
      <w:r>
        <w:t>Améliorer la gestion des forêts et planter plus de feuillus pour la filière bois de chauffage.</w:t>
      </w:r>
    </w:p>
    <w:p w:rsidR="0019036F" w:rsidRDefault="0019036F">
      <w:pPr>
        <w:pStyle w:val="Listedepuce"/>
        <w:spacing w:line="256" w:lineRule="auto"/>
      </w:pPr>
    </w:p>
    <w:p w:rsidR="0019036F" w:rsidRDefault="00DF2533">
      <w:pPr>
        <w:pStyle w:val="Titre2"/>
        <w:spacing w:before="68" w:after="68" w:line="216" w:lineRule="auto"/>
        <w:ind w:left="113" w:firstLine="0"/>
        <w:rPr>
          <w:b/>
          <w:iCs/>
          <w:color w:val="579D1C"/>
          <w:sz w:val="36"/>
          <w:szCs w:val="36"/>
        </w:rPr>
      </w:pPr>
      <w:r>
        <w:rPr>
          <w:b/>
          <w:iCs/>
          <w:color w:val="579D1C"/>
          <w:sz w:val="36"/>
          <w:szCs w:val="36"/>
        </w:rPr>
        <w:t>Développer les autres sources d'énergie renouvelables (hydrolique, éolien, geothermie...)</w:t>
      </w:r>
    </w:p>
    <w:p w:rsidR="009077C0" w:rsidRDefault="009077C0" w:rsidP="009077C0">
      <w:pPr>
        <w:spacing w:after="160" w:line="252" w:lineRule="auto"/>
        <w:ind w:left="720"/>
        <w:jc w:val="left"/>
        <w:rPr>
          <w:rFonts w:ascii="Trebuchet MS" w:hAnsi="Trebuchet MS"/>
          <w:iCs/>
          <w:color w:val="595959"/>
          <w:sz w:val="24"/>
        </w:rPr>
      </w:pPr>
    </w:p>
    <w:p w:rsidR="0019036F" w:rsidRPr="009077C0" w:rsidRDefault="00DF2533">
      <w:pPr>
        <w:numPr>
          <w:ilvl w:val="0"/>
          <w:numId w:val="7"/>
        </w:numPr>
        <w:spacing w:after="160" w:line="252" w:lineRule="auto"/>
        <w:jc w:val="left"/>
        <w:rPr>
          <w:rFonts w:ascii="Trebuchet MS" w:hAnsi="Trebuchet MS"/>
          <w:b/>
          <w:bCs/>
          <w:iCs/>
          <w:color w:val="595959"/>
          <w:sz w:val="24"/>
        </w:rPr>
      </w:pPr>
      <w:r w:rsidRPr="009077C0">
        <w:rPr>
          <w:rFonts w:ascii="Trebuchet MS" w:hAnsi="Trebuchet MS"/>
          <w:b/>
          <w:bCs/>
          <w:iCs/>
          <w:color w:val="595959"/>
          <w:sz w:val="24"/>
        </w:rPr>
        <w:t>Eolien</w:t>
      </w:r>
    </w:p>
    <w:p w:rsidR="0019036F" w:rsidRPr="00E85D83" w:rsidRDefault="00DF2533" w:rsidP="00E85D83">
      <w:pPr>
        <w:pStyle w:val="Listedepuce"/>
        <w:numPr>
          <w:ilvl w:val="0"/>
          <w:numId w:val="3"/>
        </w:numPr>
        <w:rPr>
          <w:rFonts w:ascii="Arial" w:hAnsi="Arial" w:cs="Arial"/>
          <w:szCs w:val="22"/>
        </w:rPr>
      </w:pPr>
      <w:r w:rsidRPr="00E85D83">
        <w:rPr>
          <w:rFonts w:ascii="Arial" w:hAnsi="Arial" w:cs="Arial"/>
          <w:szCs w:val="22"/>
        </w:rPr>
        <w:t>Développer le petit éolien à axe vertical dans les logements particuliers.</w:t>
      </w:r>
    </w:p>
    <w:p w:rsidR="0019036F" w:rsidRPr="00E85D83" w:rsidRDefault="00DF2533" w:rsidP="00E85D83">
      <w:pPr>
        <w:pStyle w:val="Listedepuce"/>
        <w:numPr>
          <w:ilvl w:val="0"/>
          <w:numId w:val="3"/>
        </w:numPr>
        <w:rPr>
          <w:rFonts w:ascii="Arial" w:hAnsi="Arial" w:cs="Arial"/>
          <w:szCs w:val="22"/>
        </w:rPr>
      </w:pPr>
      <w:r w:rsidRPr="00E85D83">
        <w:rPr>
          <w:rFonts w:ascii="Arial" w:hAnsi="Arial" w:cs="Arial"/>
          <w:szCs w:val="22"/>
        </w:rPr>
        <w:t>Coordonner les projets d'éoliennes, dont une partie de l'Yonne est saturée.</w:t>
      </w:r>
    </w:p>
    <w:p w:rsidR="0019036F" w:rsidRDefault="0019036F">
      <w:pPr>
        <w:pStyle w:val="Listedepuce"/>
        <w:ind w:left="1080"/>
        <w:rPr>
          <w:rFonts w:ascii="Trebuchet MS" w:hAnsi="Trebuchet MS"/>
          <w:iCs/>
          <w:color w:val="000000"/>
          <w:sz w:val="20"/>
          <w:szCs w:val="20"/>
          <w:lang w:eastAsia="fr-FR"/>
        </w:rPr>
      </w:pPr>
    </w:p>
    <w:p w:rsidR="0019036F" w:rsidRPr="009077C0" w:rsidRDefault="00DF2533">
      <w:pPr>
        <w:numPr>
          <w:ilvl w:val="0"/>
          <w:numId w:val="7"/>
        </w:numPr>
        <w:spacing w:after="160" w:line="252" w:lineRule="auto"/>
        <w:jc w:val="left"/>
        <w:rPr>
          <w:rFonts w:ascii="Trebuchet MS" w:hAnsi="Trebuchet MS"/>
          <w:b/>
          <w:bCs/>
          <w:iCs/>
          <w:color w:val="595959"/>
          <w:sz w:val="24"/>
        </w:rPr>
      </w:pPr>
      <w:r w:rsidRPr="009077C0">
        <w:rPr>
          <w:rFonts w:ascii="Trebuchet MS" w:hAnsi="Trebuchet MS"/>
          <w:b/>
          <w:bCs/>
          <w:iCs/>
          <w:color w:val="595959"/>
          <w:sz w:val="24"/>
        </w:rPr>
        <w:t>Pompes à chaleur ou « géothermie » individuelle</w:t>
      </w:r>
    </w:p>
    <w:p w:rsidR="0019036F" w:rsidRPr="00E85D83" w:rsidRDefault="00DF2533">
      <w:pPr>
        <w:pStyle w:val="Listedepuce"/>
        <w:numPr>
          <w:ilvl w:val="0"/>
          <w:numId w:val="2"/>
        </w:numPr>
        <w:rPr>
          <w:rFonts w:ascii="Arial" w:hAnsi="Arial" w:cs="Arial"/>
          <w:szCs w:val="22"/>
        </w:rPr>
      </w:pPr>
      <w:r w:rsidRPr="00E85D83">
        <w:rPr>
          <w:rFonts w:ascii="Arial" w:hAnsi="Arial" w:cs="Arial"/>
          <w:szCs w:val="22"/>
        </w:rPr>
        <w:t>Favoriser les installations de pompes à chaleur ou puits canadien dans les logements</w:t>
      </w:r>
      <w:r>
        <w:rPr>
          <w:rFonts w:ascii="Trebuchet MS" w:hAnsi="Trebuchet MS"/>
          <w:iCs/>
          <w:color w:val="000000"/>
          <w:sz w:val="20"/>
          <w:szCs w:val="20"/>
          <w:lang w:eastAsia="fr-FR"/>
        </w:rPr>
        <w:t xml:space="preserve"> </w:t>
      </w:r>
      <w:r w:rsidRPr="00E85D83">
        <w:rPr>
          <w:rFonts w:ascii="Arial" w:hAnsi="Arial" w:cs="Arial"/>
          <w:szCs w:val="22"/>
        </w:rPr>
        <w:t>(construction et rénovation).</w:t>
      </w:r>
    </w:p>
    <w:p w:rsidR="0019036F" w:rsidRDefault="0019036F">
      <w:pPr>
        <w:pStyle w:val="Listedepuce"/>
        <w:rPr>
          <w:rFonts w:ascii="Trebuchet MS" w:hAnsi="Trebuchet MS"/>
          <w:iCs/>
          <w:color w:val="000000"/>
          <w:sz w:val="20"/>
          <w:szCs w:val="20"/>
          <w:lang w:eastAsia="fr-FR"/>
        </w:rPr>
      </w:pPr>
    </w:p>
    <w:p w:rsidR="0019036F" w:rsidRDefault="0019036F">
      <w:pPr>
        <w:pStyle w:val="Listedepuce"/>
        <w:rPr>
          <w:rFonts w:ascii="Trebuchet MS" w:hAnsi="Trebuchet MS"/>
          <w:iCs/>
          <w:color w:val="000000"/>
          <w:sz w:val="20"/>
          <w:szCs w:val="20"/>
          <w:lang w:eastAsia="fr-FR"/>
        </w:rPr>
      </w:pPr>
    </w:p>
    <w:p w:rsidR="0019036F" w:rsidRDefault="0019036F">
      <w:pPr>
        <w:pStyle w:val="Listedepuce"/>
        <w:rPr>
          <w:rFonts w:ascii="Trebuchet MS" w:hAnsi="Trebuchet MS"/>
          <w:iCs/>
          <w:color w:val="000000"/>
          <w:sz w:val="20"/>
          <w:szCs w:val="20"/>
          <w:lang w:eastAsia="fr-FR"/>
        </w:rPr>
      </w:pPr>
    </w:p>
    <w:p w:rsidR="0019036F" w:rsidRDefault="0019036F">
      <w:pPr>
        <w:pStyle w:val="Listedepuce"/>
        <w:rPr>
          <w:rFonts w:ascii="Trebuchet MS" w:hAnsi="Trebuchet MS"/>
          <w:iCs/>
          <w:color w:val="000000"/>
          <w:sz w:val="20"/>
          <w:szCs w:val="20"/>
          <w:lang w:eastAsia="fr-FR"/>
        </w:rPr>
      </w:pPr>
    </w:p>
    <w:p w:rsidR="0019036F" w:rsidRDefault="0019036F">
      <w:pPr>
        <w:pStyle w:val="Listedepuce"/>
        <w:rPr>
          <w:rFonts w:ascii="Trebuchet MS" w:hAnsi="Trebuchet MS"/>
          <w:iCs/>
          <w:color w:val="000000"/>
          <w:sz w:val="20"/>
          <w:szCs w:val="20"/>
          <w:lang w:eastAsia="fr-FR"/>
        </w:rPr>
      </w:pPr>
    </w:p>
    <w:p w:rsidR="0019036F" w:rsidRDefault="0019036F">
      <w:pPr>
        <w:pStyle w:val="Listedepuce"/>
        <w:rPr>
          <w:rFonts w:ascii="Trebuchet MS" w:hAnsi="Trebuchet MS"/>
          <w:iCs/>
          <w:color w:val="000000"/>
          <w:sz w:val="20"/>
          <w:szCs w:val="20"/>
          <w:lang w:eastAsia="fr-FR"/>
        </w:rPr>
      </w:pPr>
    </w:p>
    <w:p w:rsidR="0019036F" w:rsidRDefault="0019036F">
      <w:pPr>
        <w:pStyle w:val="Listedepuce"/>
        <w:rPr>
          <w:rFonts w:ascii="Trebuchet MS" w:hAnsi="Trebuchet MS"/>
          <w:iCs/>
          <w:color w:val="000000"/>
          <w:sz w:val="20"/>
          <w:szCs w:val="20"/>
          <w:lang w:eastAsia="fr-FR"/>
        </w:rPr>
      </w:pPr>
    </w:p>
    <w:p w:rsidR="0019036F" w:rsidRDefault="0019036F">
      <w:pPr>
        <w:pStyle w:val="Listedepuce"/>
        <w:rPr>
          <w:rFonts w:ascii="Trebuchet MS" w:hAnsi="Trebuchet MS"/>
          <w:iCs/>
          <w:color w:val="000000"/>
          <w:sz w:val="20"/>
          <w:szCs w:val="20"/>
          <w:lang w:eastAsia="fr-FR"/>
        </w:rPr>
      </w:pPr>
    </w:p>
    <w:p w:rsidR="0019036F" w:rsidRPr="009077C0" w:rsidRDefault="00DF2533">
      <w:pPr>
        <w:numPr>
          <w:ilvl w:val="0"/>
          <w:numId w:val="7"/>
        </w:numPr>
        <w:spacing w:after="160" w:line="252" w:lineRule="auto"/>
        <w:jc w:val="left"/>
        <w:rPr>
          <w:rFonts w:ascii="Trebuchet MS" w:hAnsi="Trebuchet MS"/>
          <w:b/>
          <w:bCs/>
          <w:iCs/>
          <w:color w:val="595959"/>
          <w:sz w:val="24"/>
        </w:rPr>
      </w:pPr>
      <w:r w:rsidRPr="009077C0">
        <w:rPr>
          <w:rFonts w:ascii="Trebuchet MS" w:hAnsi="Trebuchet MS"/>
          <w:b/>
          <w:bCs/>
          <w:iCs/>
          <w:color w:val="595959"/>
          <w:sz w:val="24"/>
        </w:rPr>
        <w:t>Valoriser le potentiel hydraulique de la région</w:t>
      </w:r>
    </w:p>
    <w:p w:rsidR="0019036F" w:rsidRPr="00E85D83" w:rsidRDefault="00DF2533" w:rsidP="00E85D83">
      <w:pPr>
        <w:pStyle w:val="Listedepuce"/>
        <w:numPr>
          <w:ilvl w:val="0"/>
          <w:numId w:val="3"/>
        </w:numPr>
        <w:rPr>
          <w:rFonts w:ascii="Arial" w:hAnsi="Arial" w:cs="Arial"/>
          <w:szCs w:val="22"/>
        </w:rPr>
      </w:pPr>
      <w:r w:rsidRPr="00E85D83">
        <w:rPr>
          <w:rFonts w:ascii="Arial" w:hAnsi="Arial" w:cs="Arial"/>
          <w:szCs w:val="22"/>
        </w:rPr>
        <w:t>Développer des petites installations hydrauliques pour l'</w:t>
      </w:r>
      <w:r w:rsidR="009077C0">
        <w:rPr>
          <w:rFonts w:ascii="Arial" w:hAnsi="Arial" w:cs="Arial"/>
          <w:szCs w:val="22"/>
        </w:rPr>
        <w:t>é</w:t>
      </w:r>
      <w:r w:rsidRPr="00E85D83">
        <w:rPr>
          <w:rFonts w:ascii="Arial" w:hAnsi="Arial" w:cs="Arial"/>
          <w:szCs w:val="22"/>
        </w:rPr>
        <w:t>nergie domestique, notamment sur le Cousin qui compte des moulins anciens.</w:t>
      </w:r>
    </w:p>
    <w:p w:rsidR="0019036F" w:rsidRPr="00E85D83" w:rsidRDefault="00DF2533" w:rsidP="00E85D83">
      <w:pPr>
        <w:pStyle w:val="Listedepuce"/>
        <w:numPr>
          <w:ilvl w:val="0"/>
          <w:numId w:val="3"/>
        </w:numPr>
        <w:rPr>
          <w:rFonts w:ascii="Arial" w:hAnsi="Arial" w:cs="Arial"/>
          <w:szCs w:val="22"/>
        </w:rPr>
      </w:pPr>
      <w:r w:rsidRPr="00E85D83">
        <w:rPr>
          <w:rFonts w:ascii="Arial" w:hAnsi="Arial" w:cs="Arial"/>
          <w:szCs w:val="22"/>
        </w:rPr>
        <w:t>Sensibiliser les propriétaires de moulin sur les potentialités de production énergétique. Proposer des aides et un accompagnement (gestion de vannage pour coordonner les besoins en energie, pour les poissons, les sédiments). (cf. association hydrauxois).</w:t>
      </w:r>
    </w:p>
    <w:p w:rsidR="0019036F" w:rsidRPr="00E85D83" w:rsidRDefault="00DF2533" w:rsidP="00E85D83">
      <w:pPr>
        <w:pStyle w:val="Listedepuce"/>
        <w:numPr>
          <w:ilvl w:val="0"/>
          <w:numId w:val="3"/>
        </w:numPr>
        <w:rPr>
          <w:rFonts w:ascii="Arial" w:hAnsi="Arial" w:cs="Arial"/>
          <w:szCs w:val="22"/>
        </w:rPr>
      </w:pPr>
      <w:r w:rsidRPr="00E85D83">
        <w:rPr>
          <w:rFonts w:ascii="Arial" w:hAnsi="Arial" w:cs="Arial"/>
          <w:szCs w:val="22"/>
        </w:rPr>
        <w:t>Optimiser la gestion des barrages existants (non écr</w:t>
      </w:r>
      <w:r w:rsidR="009077C0">
        <w:rPr>
          <w:rFonts w:ascii="Arial" w:hAnsi="Arial" w:cs="Arial"/>
          <w:szCs w:val="22"/>
        </w:rPr>
        <w:t>e</w:t>
      </w:r>
      <w:r w:rsidRPr="00E85D83">
        <w:rPr>
          <w:rFonts w:ascii="Arial" w:hAnsi="Arial" w:cs="Arial"/>
          <w:szCs w:val="22"/>
        </w:rPr>
        <w:t>tage des crues et gestion obsolète).</w:t>
      </w:r>
    </w:p>
    <w:p w:rsidR="0019036F" w:rsidRDefault="0019036F">
      <w:pPr>
        <w:spacing w:after="160" w:line="252" w:lineRule="auto"/>
        <w:ind w:left="720"/>
        <w:jc w:val="left"/>
        <w:rPr>
          <w:rFonts w:ascii="Trebuchet MS" w:hAnsi="Trebuchet MS"/>
          <w:iCs/>
          <w:color w:val="595959"/>
          <w:sz w:val="24"/>
        </w:rPr>
      </w:pPr>
    </w:p>
    <w:p w:rsidR="0019036F" w:rsidRPr="009077C0" w:rsidRDefault="00DF2533">
      <w:pPr>
        <w:numPr>
          <w:ilvl w:val="0"/>
          <w:numId w:val="7"/>
        </w:numPr>
        <w:spacing w:after="160" w:line="252" w:lineRule="auto"/>
        <w:jc w:val="left"/>
        <w:rPr>
          <w:rFonts w:ascii="Trebuchet MS" w:hAnsi="Trebuchet MS"/>
          <w:b/>
          <w:bCs/>
          <w:iCs/>
          <w:color w:val="595959"/>
          <w:sz w:val="24"/>
        </w:rPr>
      </w:pPr>
      <w:r w:rsidRPr="009077C0">
        <w:rPr>
          <w:rFonts w:ascii="Trebuchet MS" w:hAnsi="Trebuchet MS"/>
          <w:b/>
          <w:bCs/>
          <w:iCs/>
          <w:color w:val="595959"/>
          <w:sz w:val="24"/>
        </w:rPr>
        <w:t>Créer de l'énergie à partir des déchets</w:t>
      </w:r>
    </w:p>
    <w:p w:rsidR="0019036F" w:rsidRPr="00E85D83" w:rsidRDefault="00DF2533" w:rsidP="00E85D83">
      <w:pPr>
        <w:pStyle w:val="Listedepuce"/>
        <w:numPr>
          <w:ilvl w:val="0"/>
          <w:numId w:val="3"/>
        </w:numPr>
        <w:rPr>
          <w:rFonts w:ascii="Arial" w:hAnsi="Arial" w:cs="Arial"/>
          <w:szCs w:val="22"/>
        </w:rPr>
      </w:pPr>
      <w:r w:rsidRPr="00E85D83">
        <w:rPr>
          <w:rFonts w:ascii="Arial" w:hAnsi="Arial" w:cs="Arial"/>
          <w:szCs w:val="22"/>
        </w:rPr>
        <w:t>Dans les stations d'épuration, récupérer les matières fécales pour générer de l'énergie localement.</w:t>
      </w:r>
    </w:p>
    <w:p w:rsidR="0019036F" w:rsidRDefault="00DF2533" w:rsidP="00E85D83">
      <w:pPr>
        <w:pStyle w:val="Listedepuce"/>
        <w:numPr>
          <w:ilvl w:val="0"/>
          <w:numId w:val="3"/>
        </w:numPr>
        <w:rPr>
          <w:rFonts w:ascii="Arial" w:hAnsi="Arial" w:cs="Arial"/>
          <w:szCs w:val="22"/>
        </w:rPr>
      </w:pPr>
      <w:r w:rsidRPr="00E85D83">
        <w:rPr>
          <w:rFonts w:ascii="Arial" w:hAnsi="Arial" w:cs="Arial"/>
          <w:szCs w:val="22"/>
        </w:rPr>
        <w:t>Utiliser le bio-gaz formé à partir des déchets du centre de stockage urbain et industriel non dangereux de Sauvigny le bois.</w:t>
      </w:r>
    </w:p>
    <w:p w:rsidR="009077C0" w:rsidRPr="00E85D83" w:rsidRDefault="009077C0" w:rsidP="009077C0">
      <w:pPr>
        <w:pStyle w:val="Listedepuce"/>
        <w:ind w:left="1080"/>
        <w:rPr>
          <w:rFonts w:ascii="Arial" w:hAnsi="Arial" w:cs="Arial"/>
          <w:szCs w:val="22"/>
        </w:rPr>
      </w:pPr>
    </w:p>
    <w:p w:rsidR="0019036F" w:rsidRDefault="00DF2533">
      <w:pPr>
        <w:spacing w:before="283" w:after="113"/>
        <w:rPr>
          <w:rFonts w:ascii="Trebuchet MS" w:hAnsi="Trebuchet MS" w:cs="Calibri Light"/>
          <w:b/>
          <w:bCs/>
          <w:iCs/>
          <w:color w:val="000000"/>
          <w:sz w:val="28"/>
          <w:szCs w:val="28"/>
        </w:rPr>
      </w:pPr>
      <w:r>
        <w:rPr>
          <w:rFonts w:ascii="Trebuchet MS" w:hAnsi="Trebuchet MS" w:cs="Calibri Light"/>
          <w:b/>
          <w:bCs/>
          <w:iCs/>
          <w:color w:val="000000"/>
          <w:sz w:val="28"/>
          <w:szCs w:val="28"/>
        </w:rPr>
        <w:t>RAPPEL : contributions de la réunion du 13 mars et du forum en ligne</w:t>
      </w:r>
    </w:p>
    <w:p w:rsidR="0019036F" w:rsidRDefault="00DF2533">
      <w:pPr>
        <w:pStyle w:val="Listedepuce"/>
        <w:ind w:left="1080"/>
        <w:rPr>
          <w:rFonts w:ascii="Trebuchet MS" w:hAnsi="Trebuchet MS"/>
          <w:b/>
          <w:bCs/>
          <w:iCs/>
          <w:color w:val="595959"/>
          <w:sz w:val="24"/>
        </w:rPr>
      </w:pPr>
      <w:r>
        <w:rPr>
          <w:rFonts w:ascii="Trebuchet MS" w:hAnsi="Trebuchet MS"/>
          <w:b/>
          <w:bCs/>
          <w:iCs/>
          <w:color w:val="595959"/>
          <w:sz w:val="24"/>
        </w:rPr>
        <w:t>Énergie hydraulique</w:t>
      </w:r>
    </w:p>
    <w:p w:rsidR="0019036F" w:rsidRDefault="00DF2533">
      <w:pPr>
        <w:pStyle w:val="Listedepuce"/>
        <w:numPr>
          <w:ilvl w:val="0"/>
          <w:numId w:val="2"/>
        </w:numPr>
      </w:pPr>
      <w:r>
        <w:t>Mener une étude de faisabilité pour augmenter la puissance des installations électriques existantes.</w:t>
      </w:r>
    </w:p>
    <w:p w:rsidR="0019036F" w:rsidRDefault="00DF2533">
      <w:pPr>
        <w:pStyle w:val="Listedepuce"/>
        <w:numPr>
          <w:ilvl w:val="0"/>
          <w:numId w:val="2"/>
        </w:numPr>
      </w:pPr>
      <w:r>
        <w:t>Développer la récupération d'énergie des eaux grises et étudier la possibilité de récupérer l'énergie d'écoulement des eaux de pluie dans les collecteurs.</w:t>
      </w:r>
    </w:p>
    <w:p w:rsidR="0019036F" w:rsidRDefault="0019036F">
      <w:pPr>
        <w:pStyle w:val="Listedepuce"/>
        <w:ind w:left="1080"/>
      </w:pPr>
    </w:p>
    <w:p w:rsidR="0019036F" w:rsidRDefault="00DF2533">
      <w:pPr>
        <w:pStyle w:val="Listedepuce"/>
        <w:ind w:left="1080"/>
        <w:rPr>
          <w:rFonts w:ascii="Trebuchet MS" w:hAnsi="Trebuchet MS"/>
          <w:b/>
          <w:bCs/>
          <w:iCs/>
          <w:color w:val="595959"/>
          <w:sz w:val="24"/>
        </w:rPr>
      </w:pPr>
      <w:r>
        <w:rPr>
          <w:rFonts w:ascii="Trebuchet MS" w:hAnsi="Trebuchet MS"/>
          <w:b/>
          <w:bCs/>
          <w:iCs/>
          <w:color w:val="595959"/>
          <w:sz w:val="24"/>
        </w:rPr>
        <w:t>Énergie éolienne</w:t>
      </w:r>
    </w:p>
    <w:p w:rsidR="0019036F" w:rsidRDefault="00DF2533">
      <w:pPr>
        <w:pStyle w:val="Listedepuce"/>
        <w:numPr>
          <w:ilvl w:val="0"/>
          <w:numId w:val="2"/>
        </w:numPr>
        <w:spacing w:line="256" w:lineRule="auto"/>
      </w:pPr>
      <w:r>
        <w:t>Étudier la faisabilité et l’intégration paysagère des petites éoliennes dans les exploitations agricoles, mais ne pas massifier.</w:t>
      </w:r>
    </w:p>
    <w:p w:rsidR="0019036F" w:rsidRDefault="0019036F">
      <w:pPr>
        <w:pStyle w:val="Listedepuce"/>
        <w:spacing w:line="254" w:lineRule="auto"/>
        <w:jc w:val="left"/>
      </w:pPr>
    </w:p>
    <w:p w:rsidR="0019036F" w:rsidRDefault="00DF2533">
      <w:pPr>
        <w:pStyle w:val="Listedepuce"/>
        <w:ind w:left="1080"/>
        <w:rPr>
          <w:rFonts w:ascii="Trebuchet MS" w:hAnsi="Trebuchet MS"/>
          <w:b/>
          <w:bCs/>
          <w:iCs/>
          <w:color w:val="595959"/>
          <w:sz w:val="24"/>
        </w:rPr>
      </w:pPr>
      <w:r>
        <w:rPr>
          <w:rFonts w:ascii="Trebuchet MS" w:hAnsi="Trebuchet MS"/>
          <w:b/>
          <w:bCs/>
          <w:iCs/>
          <w:color w:val="595959"/>
          <w:sz w:val="24"/>
        </w:rPr>
        <w:t>Énergie géologique et géothermique</w:t>
      </w:r>
    </w:p>
    <w:p w:rsidR="0019036F" w:rsidRDefault="00DF2533">
      <w:pPr>
        <w:pStyle w:val="Listedepuce"/>
        <w:numPr>
          <w:ilvl w:val="0"/>
          <w:numId w:val="2"/>
        </w:numPr>
        <w:spacing w:line="256" w:lineRule="auto"/>
      </w:pPr>
      <w:r>
        <w:t>Développer la géothermie sur le territoire.</w:t>
      </w:r>
    </w:p>
    <w:p w:rsidR="0019036F" w:rsidRDefault="0019036F">
      <w:pPr>
        <w:pStyle w:val="Listedepuce"/>
        <w:ind w:left="1080"/>
        <w:rPr>
          <w:rFonts w:ascii="Trebuchet MS" w:hAnsi="Trebuchet MS"/>
          <w:b/>
          <w:bCs/>
          <w:iCs/>
          <w:color w:val="595959"/>
          <w:sz w:val="24"/>
        </w:rPr>
      </w:pPr>
    </w:p>
    <w:p w:rsidR="0019036F" w:rsidRDefault="00DF2533">
      <w:pPr>
        <w:pStyle w:val="Listedepuce"/>
        <w:numPr>
          <w:ilvl w:val="0"/>
          <w:numId w:val="2"/>
        </w:numPr>
        <w:rPr>
          <w:rFonts w:ascii="Trebuchet MS" w:hAnsi="Trebuchet MS"/>
          <w:b/>
          <w:bCs/>
          <w:iCs/>
          <w:color w:val="595959"/>
          <w:sz w:val="24"/>
        </w:rPr>
      </w:pPr>
      <w:r>
        <w:rPr>
          <w:rFonts w:ascii="Trebuchet MS" w:hAnsi="Trebuchet MS"/>
          <w:b/>
          <w:bCs/>
          <w:iCs/>
          <w:color w:val="595959"/>
          <w:sz w:val="24"/>
        </w:rPr>
        <w:t>Stratégie de territoire et coopératives</w:t>
      </w:r>
    </w:p>
    <w:p w:rsidR="0019036F" w:rsidRDefault="00DF2533">
      <w:pPr>
        <w:pStyle w:val="Listedepuce"/>
        <w:numPr>
          <w:ilvl w:val="0"/>
          <w:numId w:val="2"/>
        </w:numPr>
        <w:spacing w:line="256" w:lineRule="auto"/>
      </w:pPr>
      <w:r>
        <w:t>Définir une stratégie globale de territoire avec des objectifs cohérents et des actions hiérarchisées.</w:t>
      </w:r>
    </w:p>
    <w:p w:rsidR="0019036F" w:rsidRDefault="0019036F">
      <w:pPr>
        <w:pStyle w:val="Listedepuce"/>
        <w:ind w:left="1080"/>
        <w:rPr>
          <w:rFonts w:ascii="Trebuchet MS" w:hAnsi="Trebuchet MS"/>
          <w:b/>
          <w:bCs/>
          <w:iCs/>
          <w:color w:val="595959"/>
          <w:sz w:val="24"/>
        </w:rPr>
      </w:pPr>
    </w:p>
    <w:p w:rsidR="0019036F" w:rsidRDefault="00DF2533">
      <w:pPr>
        <w:pStyle w:val="Listedepuce"/>
        <w:numPr>
          <w:ilvl w:val="0"/>
          <w:numId w:val="2"/>
        </w:numPr>
        <w:rPr>
          <w:rFonts w:ascii="Trebuchet MS" w:hAnsi="Trebuchet MS"/>
          <w:b/>
          <w:bCs/>
          <w:iCs/>
          <w:color w:val="595959"/>
          <w:sz w:val="24"/>
        </w:rPr>
      </w:pPr>
      <w:r>
        <w:rPr>
          <w:rFonts w:ascii="Trebuchet MS" w:hAnsi="Trebuchet MS"/>
          <w:b/>
          <w:bCs/>
          <w:iCs/>
          <w:color w:val="595959"/>
          <w:sz w:val="24"/>
        </w:rPr>
        <w:t>Sensibilisation</w:t>
      </w:r>
    </w:p>
    <w:p w:rsidR="0019036F" w:rsidRDefault="00DF2533">
      <w:pPr>
        <w:pStyle w:val="Listedepuce"/>
        <w:numPr>
          <w:ilvl w:val="0"/>
          <w:numId w:val="2"/>
        </w:numPr>
        <w:rPr>
          <w:rFonts w:ascii="Arial" w:hAnsi="Arial"/>
          <w:iCs/>
          <w:color w:val="111111"/>
          <w:szCs w:val="22"/>
        </w:rPr>
      </w:pPr>
      <w:r>
        <w:rPr>
          <w:rFonts w:ascii="Arial" w:hAnsi="Arial"/>
          <w:iCs/>
          <w:color w:val="111111"/>
          <w:szCs w:val="22"/>
        </w:rPr>
        <w:t>Inciter et faire de la pédagogie pour réduire la consommation énergétique.</w:t>
      </w:r>
    </w:p>
    <w:p w:rsidR="0019036F" w:rsidRDefault="00DF2533">
      <w:pPr>
        <w:pStyle w:val="Listedepuce"/>
        <w:numPr>
          <w:ilvl w:val="0"/>
          <w:numId w:val="2"/>
        </w:numPr>
        <w:rPr>
          <w:rFonts w:ascii="Arial" w:hAnsi="Arial"/>
          <w:iCs/>
          <w:color w:val="111111"/>
          <w:szCs w:val="22"/>
        </w:rPr>
      </w:pPr>
      <w:r>
        <w:rPr>
          <w:rFonts w:ascii="Arial" w:hAnsi="Arial"/>
          <w:iCs/>
          <w:color w:val="111111"/>
          <w:szCs w:val="22"/>
        </w:rPr>
        <w:t>Définir une stratégie globale de territoire avec des objectifs cohérents et des actions hiérarchisées.</w:t>
      </w:r>
    </w:p>
    <w:p w:rsidR="0019036F" w:rsidRDefault="0019036F">
      <w:pPr>
        <w:pStyle w:val="Titre2"/>
        <w:spacing w:before="68" w:after="68" w:line="216" w:lineRule="auto"/>
        <w:ind w:left="113" w:firstLine="0"/>
        <w:rPr>
          <w:b/>
          <w:iCs/>
          <w:color w:val="579D1C"/>
          <w:sz w:val="24"/>
          <w:szCs w:val="24"/>
        </w:rPr>
      </w:pPr>
    </w:p>
    <w:p w:rsidR="0019036F" w:rsidRDefault="00DF2533">
      <w:pPr>
        <w:pStyle w:val="Titre2"/>
        <w:spacing w:before="68" w:after="68" w:line="216" w:lineRule="auto"/>
        <w:ind w:left="113" w:firstLine="0"/>
        <w:rPr>
          <w:b/>
          <w:iCs/>
          <w:color w:val="579D1C"/>
          <w:sz w:val="36"/>
          <w:szCs w:val="36"/>
        </w:rPr>
      </w:pPr>
      <w:r>
        <w:br w:type="page"/>
      </w:r>
    </w:p>
    <w:p w:rsidR="0019036F" w:rsidRDefault="00DF2533">
      <w:pPr>
        <w:pStyle w:val="Titre2"/>
        <w:spacing w:before="68" w:after="68" w:line="216" w:lineRule="auto"/>
        <w:ind w:left="113" w:firstLine="0"/>
        <w:rPr>
          <w:b/>
          <w:iCs/>
          <w:color w:val="579D1C"/>
          <w:sz w:val="36"/>
          <w:szCs w:val="36"/>
        </w:rPr>
      </w:pPr>
      <w:r>
        <w:rPr>
          <w:b/>
          <w:iCs/>
          <w:color w:val="579D1C"/>
          <w:sz w:val="36"/>
          <w:szCs w:val="36"/>
        </w:rPr>
        <w:lastRenderedPageBreak/>
        <w:t>Sensibiliser et agir sur la qualité de l'air</w:t>
      </w:r>
    </w:p>
    <w:p w:rsidR="0019036F" w:rsidRDefault="0019036F">
      <w:pPr>
        <w:pStyle w:val="Listedepuce"/>
        <w:rPr>
          <w:rFonts w:ascii="Arial" w:hAnsi="Arial"/>
          <w:iCs/>
          <w:color w:val="111111"/>
          <w:szCs w:val="22"/>
        </w:rPr>
      </w:pPr>
    </w:p>
    <w:p w:rsidR="0019036F" w:rsidRPr="00E85D83" w:rsidRDefault="00DF2533" w:rsidP="00E85D83">
      <w:pPr>
        <w:pStyle w:val="Listedepuce"/>
        <w:numPr>
          <w:ilvl w:val="0"/>
          <w:numId w:val="3"/>
        </w:numPr>
        <w:rPr>
          <w:rFonts w:ascii="Arial" w:hAnsi="Arial" w:cs="Arial"/>
          <w:szCs w:val="22"/>
        </w:rPr>
      </w:pPr>
      <w:r w:rsidRPr="00E85D83">
        <w:rPr>
          <w:rFonts w:ascii="Arial" w:hAnsi="Arial" w:cs="Arial"/>
          <w:szCs w:val="22"/>
        </w:rPr>
        <w:t>Faire connaître les outils de mesure de la qualité de l'air, notamment via le site et l'application smartphone: ATMOS'FAIR.</w:t>
      </w:r>
    </w:p>
    <w:p w:rsidR="0019036F" w:rsidRPr="00E85D83" w:rsidRDefault="009077C0" w:rsidP="00E85D83">
      <w:pPr>
        <w:pStyle w:val="Listedepuce"/>
        <w:numPr>
          <w:ilvl w:val="0"/>
          <w:numId w:val="3"/>
        </w:numPr>
        <w:rPr>
          <w:rFonts w:ascii="Arial" w:hAnsi="Arial" w:cs="Arial"/>
          <w:szCs w:val="22"/>
        </w:rPr>
      </w:pPr>
      <w:r>
        <w:rPr>
          <w:rFonts w:ascii="Arial" w:hAnsi="Arial" w:cs="Arial"/>
          <w:szCs w:val="22"/>
        </w:rPr>
        <w:t>Publier</w:t>
      </w:r>
      <w:r w:rsidR="00DF2533" w:rsidRPr="00E85D83">
        <w:rPr>
          <w:rFonts w:ascii="Arial" w:hAnsi="Arial" w:cs="Arial"/>
          <w:szCs w:val="22"/>
        </w:rPr>
        <w:t xml:space="preserve"> régulièrement et sur plusieurs supports grand public les informations sur la qualité de l'air (coupler les cartes météo avec les cartes qualité de l'air).</w:t>
      </w:r>
    </w:p>
    <w:p w:rsidR="0019036F" w:rsidRPr="00E85D83" w:rsidRDefault="00DF2533" w:rsidP="00E85D83">
      <w:pPr>
        <w:pStyle w:val="Listedepuce"/>
        <w:numPr>
          <w:ilvl w:val="0"/>
          <w:numId w:val="3"/>
        </w:numPr>
        <w:rPr>
          <w:rFonts w:ascii="Arial" w:hAnsi="Arial" w:cs="Arial"/>
          <w:szCs w:val="22"/>
        </w:rPr>
      </w:pPr>
      <w:r w:rsidRPr="00E85D83">
        <w:rPr>
          <w:rFonts w:ascii="Arial" w:hAnsi="Arial" w:cs="Arial"/>
          <w:szCs w:val="22"/>
        </w:rPr>
        <w:t xml:space="preserve">Répondre aux appels à projets nationaux sur la qualité de l'air intérieur pour mener des actions concrètes. (diagnostic réguliers et sensibilisation sur les matériaux.). </w:t>
      </w:r>
    </w:p>
    <w:p w:rsidR="0019036F" w:rsidRPr="00E85D83" w:rsidRDefault="00DF2533" w:rsidP="00E85D83">
      <w:pPr>
        <w:pStyle w:val="Listedepuce"/>
        <w:numPr>
          <w:ilvl w:val="0"/>
          <w:numId w:val="3"/>
        </w:numPr>
        <w:rPr>
          <w:rFonts w:ascii="Arial" w:hAnsi="Arial" w:cs="Arial"/>
          <w:szCs w:val="22"/>
        </w:rPr>
      </w:pPr>
      <w:r w:rsidRPr="00E85D83">
        <w:rPr>
          <w:rFonts w:ascii="Arial" w:hAnsi="Arial" w:cs="Arial"/>
          <w:szCs w:val="22"/>
        </w:rPr>
        <w:t>Intégrer dans le Contrat Local de Santé (CLS) des mesures pour améliorer la qualité de l'air intérieur, notamment en sensibilisant sur les gestes (aérer les logements) et sur l'importance de la qualité des matériaux et des produits d'entretien.</w:t>
      </w:r>
    </w:p>
    <w:p w:rsidR="0019036F" w:rsidRPr="00E85D83" w:rsidRDefault="00DF2533" w:rsidP="00E85D83">
      <w:pPr>
        <w:pStyle w:val="Listedepuce"/>
        <w:numPr>
          <w:ilvl w:val="0"/>
          <w:numId w:val="3"/>
        </w:numPr>
        <w:rPr>
          <w:rFonts w:ascii="Arial" w:hAnsi="Arial" w:cs="Arial"/>
          <w:szCs w:val="22"/>
        </w:rPr>
      </w:pPr>
      <w:r w:rsidRPr="00E85D83">
        <w:rPr>
          <w:rFonts w:ascii="Arial" w:hAnsi="Arial" w:cs="Arial"/>
          <w:szCs w:val="22"/>
        </w:rPr>
        <w:t>Informer sur la pollution aux particules fines issue des cheminées et promouvoir l'utilisation de poêles à bois double combustion.</w:t>
      </w:r>
    </w:p>
    <w:p w:rsidR="0019036F" w:rsidRPr="00E85D83" w:rsidRDefault="00DF2533" w:rsidP="00E85D83">
      <w:pPr>
        <w:pStyle w:val="Listedepuce"/>
        <w:numPr>
          <w:ilvl w:val="0"/>
          <w:numId w:val="3"/>
        </w:numPr>
        <w:rPr>
          <w:rFonts w:ascii="Arial" w:hAnsi="Arial" w:cs="Arial"/>
          <w:szCs w:val="22"/>
        </w:rPr>
      </w:pPr>
      <w:r w:rsidRPr="00E85D83">
        <w:rPr>
          <w:rFonts w:ascii="Arial" w:hAnsi="Arial" w:cs="Arial"/>
          <w:szCs w:val="22"/>
        </w:rPr>
        <w:t>Mettre en place des actions de limitations du trafic routier lorsque les seuils de pollution de l'air sont dépassés (limiter la vitesse des poids lourds, voire interdire leur circulation certains jours).</w:t>
      </w:r>
    </w:p>
    <w:p w:rsidR="0019036F" w:rsidRPr="00E85D83" w:rsidRDefault="00DF2533" w:rsidP="00E85D83">
      <w:pPr>
        <w:pStyle w:val="Listedepuce"/>
        <w:numPr>
          <w:ilvl w:val="0"/>
          <w:numId w:val="3"/>
        </w:numPr>
        <w:rPr>
          <w:rFonts w:ascii="Arial" w:hAnsi="Arial" w:cs="Arial"/>
          <w:szCs w:val="22"/>
        </w:rPr>
      </w:pPr>
      <w:r w:rsidRPr="00E85D83">
        <w:rPr>
          <w:rFonts w:ascii="Arial" w:hAnsi="Arial" w:cs="Arial"/>
          <w:szCs w:val="22"/>
        </w:rPr>
        <w:t>Limiter la pollution à l'ozone en raison de ses effets néfastes sur les forêts et les espaces verts.</w:t>
      </w:r>
    </w:p>
    <w:p w:rsidR="0019036F" w:rsidRDefault="0019036F">
      <w:pPr>
        <w:pStyle w:val="Listedepuce"/>
        <w:rPr>
          <w:rFonts w:ascii="Trebuchet MS" w:hAnsi="Trebuchet MS"/>
          <w:iCs/>
          <w:color w:val="000000"/>
          <w:sz w:val="20"/>
          <w:szCs w:val="20"/>
          <w:lang w:eastAsia="fr-FR"/>
        </w:rPr>
      </w:pPr>
    </w:p>
    <w:sectPr w:rsidR="0019036F">
      <w:headerReference w:type="default" r:id="rId9"/>
      <w:footerReference w:type="default" r:id="rId10"/>
      <w:pgSz w:w="11906" w:h="16838"/>
      <w:pgMar w:top="1440" w:right="1077" w:bottom="1440" w:left="1077" w:header="284" w:footer="397"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533" w:rsidRDefault="00DF2533">
      <w:pPr>
        <w:spacing w:after="0" w:line="240" w:lineRule="auto"/>
      </w:pPr>
      <w:r>
        <w:separator/>
      </w:r>
    </w:p>
  </w:endnote>
  <w:endnote w:type="continuationSeparator" w:id="0">
    <w:p w:rsidR="00DF2533" w:rsidRDefault="00DF2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36F" w:rsidRDefault="00DF2533">
    <w:pPr>
      <w:pStyle w:val="Pieddepage"/>
      <w:tabs>
        <w:tab w:val="clear" w:pos="4153"/>
        <w:tab w:val="clear" w:pos="8306"/>
        <w:tab w:val="center" w:pos="4876"/>
        <w:tab w:val="right" w:pos="9752"/>
      </w:tabs>
      <w:spacing w:after="0"/>
      <w:jc w:val="left"/>
    </w:pPr>
    <w:r>
      <w:rPr>
        <w:szCs w:val="14"/>
      </w:rPr>
      <w:tab/>
    </w:r>
    <w:r>
      <w:fldChar w:fldCharType="begin"/>
    </w:r>
    <w:r>
      <w:instrText>PAGE</w:instrText>
    </w:r>
    <w:r>
      <w:fldChar w:fldCharType="separate"/>
    </w:r>
    <w:r>
      <w:t>0</w:t>
    </w:r>
    <w:r>
      <w:fldChar w:fldCharType="end"/>
    </w:r>
    <w:r>
      <w:t xml:space="preserve"> / </w:t>
    </w:r>
    <w:r>
      <w:fldChar w:fldCharType="begin"/>
    </w:r>
    <w:r>
      <w:rPr>
        <w:noProof/>
      </w:rPr>
      <w:drawing>
        <wp:anchor distT="0" distB="0" distL="114300" distR="114300" simplePos="0" relativeHeight="32" behindDoc="1" locked="0" layoutInCell="1" allowOverlap="1">
          <wp:simplePos x="0" y="0"/>
          <wp:positionH relativeFrom="column">
            <wp:posOffset>561975</wp:posOffset>
          </wp:positionH>
          <wp:positionV relativeFrom="paragraph">
            <wp:posOffset>-31115</wp:posOffset>
          </wp:positionV>
          <wp:extent cx="5080000" cy="36195"/>
          <wp:effectExtent l="0" t="0" r="0" b="0"/>
          <wp:wrapNone/>
          <wp:docPr id="17" nam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
                  <pic:cNvPicPr>
                    <a:picLocks noChangeAspect="1" noChangeArrowheads="1"/>
                  </pic:cNvPicPr>
                </pic:nvPicPr>
                <pic:blipFill>
                  <a:blip r:embed="rId1"/>
                  <a:stretch>
                    <a:fillRect/>
                  </a:stretch>
                </pic:blipFill>
                <pic:spPr bwMode="auto">
                  <a:xfrm>
                    <a:off x="0" y="0"/>
                    <a:ext cx="5080000" cy="36195"/>
                  </a:xfrm>
                  <a:prstGeom prst="rect">
                    <a:avLst/>
                  </a:prstGeom>
                </pic:spPr>
              </pic:pic>
            </a:graphicData>
          </a:graphic>
        </wp:anchor>
      </w:drawing>
    </w:r>
    <w:r>
      <w:instrText>NUMPAGES</w:instrText>
    </w:r>
    <w:r>
      <w:fldChar w:fldCharType="separate"/>
    </w:r>
    <w:r>
      <w:t>5</w:t>
    </w:r>
    <w:r>
      <w:fldChar w:fldCharType="end"/>
    </w:r>
    <w:r>
      <w:fldChar w:fldCharType="begin"/>
    </w:r>
    <w:r>
      <w:instrText>NUMPAGES</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533" w:rsidRDefault="00DF2533">
      <w:pPr>
        <w:spacing w:after="0" w:line="240" w:lineRule="auto"/>
      </w:pPr>
      <w:r>
        <w:separator/>
      </w:r>
    </w:p>
  </w:footnote>
  <w:footnote w:type="continuationSeparator" w:id="0">
    <w:p w:rsidR="00DF2533" w:rsidRDefault="00DF2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36F" w:rsidRDefault="00DF2533">
    <w:pPr>
      <w:pStyle w:val="En-tte"/>
      <w:rPr>
        <w:lang w:val="fr-FR" w:eastAsia="fr-FR"/>
      </w:rPr>
    </w:pPr>
    <w:r>
      <w:rPr>
        <w:noProof/>
        <w:lang w:val="fr-FR" w:eastAsia="fr-FR"/>
      </w:rPr>
      <w:drawing>
        <wp:anchor distT="0" distB="0" distL="114300" distR="114300" simplePos="0" relativeHeight="17" behindDoc="0" locked="0" layoutInCell="1" allowOverlap="1">
          <wp:simplePos x="0" y="0"/>
          <wp:positionH relativeFrom="column">
            <wp:posOffset>5631180</wp:posOffset>
          </wp:positionH>
          <wp:positionV relativeFrom="paragraph">
            <wp:posOffset>221615</wp:posOffset>
          </wp:positionV>
          <wp:extent cx="718185" cy="316230"/>
          <wp:effectExtent l="0" t="0" r="0" b="0"/>
          <wp:wrapNone/>
          <wp:docPr id="14"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
                  <pic:cNvPicPr>
                    <a:picLocks noChangeAspect="1" noChangeArrowheads="1"/>
                  </pic:cNvPicPr>
                </pic:nvPicPr>
                <pic:blipFill>
                  <a:blip r:embed="rId1"/>
                  <a:stretch>
                    <a:fillRect/>
                  </a:stretch>
                </pic:blipFill>
                <pic:spPr bwMode="auto">
                  <a:xfrm>
                    <a:off x="0" y="0"/>
                    <a:ext cx="718185" cy="316230"/>
                  </a:xfrm>
                  <a:prstGeom prst="rect">
                    <a:avLst/>
                  </a:prstGeom>
                </pic:spPr>
              </pic:pic>
            </a:graphicData>
          </a:graphic>
        </wp:anchor>
      </w:drawing>
    </w:r>
    <w:r>
      <w:rPr>
        <w:noProof/>
        <w:lang w:val="fr-FR" w:eastAsia="fr-FR"/>
      </w:rPr>
      <w:drawing>
        <wp:anchor distT="0" distB="0" distL="114300" distR="114300" simplePos="0" relativeHeight="22" behindDoc="1" locked="0" layoutInCell="1" allowOverlap="1">
          <wp:simplePos x="0" y="0"/>
          <wp:positionH relativeFrom="column">
            <wp:posOffset>5560060</wp:posOffset>
          </wp:positionH>
          <wp:positionV relativeFrom="paragraph">
            <wp:posOffset>-132715</wp:posOffset>
          </wp:positionV>
          <wp:extent cx="890270" cy="392430"/>
          <wp:effectExtent l="0" t="0" r="0" b="0"/>
          <wp:wrapNone/>
          <wp:docPr id="15"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
                  <pic:cNvPicPr>
                    <a:picLocks noChangeAspect="1" noChangeArrowheads="1"/>
                  </pic:cNvPicPr>
                </pic:nvPicPr>
                <pic:blipFill>
                  <a:blip r:embed="rId2"/>
                  <a:stretch>
                    <a:fillRect/>
                  </a:stretch>
                </pic:blipFill>
                <pic:spPr bwMode="auto">
                  <a:xfrm>
                    <a:off x="0" y="0"/>
                    <a:ext cx="890270" cy="392430"/>
                  </a:xfrm>
                  <a:prstGeom prst="rect">
                    <a:avLst/>
                  </a:prstGeom>
                </pic:spPr>
              </pic:pic>
            </a:graphicData>
          </a:graphic>
        </wp:anchor>
      </w:drawing>
    </w:r>
    <w:r>
      <w:rPr>
        <w:noProof/>
        <w:lang w:val="fr-FR" w:eastAsia="fr-FR"/>
      </w:rPr>
      <w:drawing>
        <wp:anchor distT="0" distB="0" distL="114300" distR="114300" simplePos="0" relativeHeight="27" behindDoc="1" locked="0" layoutInCell="1" allowOverlap="1">
          <wp:simplePos x="0" y="0"/>
          <wp:positionH relativeFrom="page">
            <wp:posOffset>1724660</wp:posOffset>
          </wp:positionH>
          <wp:positionV relativeFrom="page">
            <wp:posOffset>770255</wp:posOffset>
          </wp:positionV>
          <wp:extent cx="6186805" cy="30480"/>
          <wp:effectExtent l="0" t="0" r="0" b="0"/>
          <wp:wrapNone/>
          <wp:docPr id="16" nam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3"/>
                  <pic:cNvPicPr>
                    <a:picLocks noChangeAspect="1" noChangeArrowheads="1"/>
                  </pic:cNvPicPr>
                </pic:nvPicPr>
                <pic:blipFill>
                  <a:blip r:embed="rId3"/>
                  <a:stretch>
                    <a:fillRect/>
                  </a:stretch>
                </pic:blipFill>
                <pic:spPr bwMode="auto">
                  <a:xfrm>
                    <a:off x="0" y="0"/>
                    <a:ext cx="6186805" cy="30480"/>
                  </a:xfrm>
                  <a:prstGeom prst="rect">
                    <a:avLst/>
                  </a:prstGeom>
                </pic:spPr>
              </pic:pic>
            </a:graphicData>
          </a:graphic>
        </wp:anchor>
      </w:drawing>
    </w:r>
    <w:r>
      <w:rPr>
        <w:lang w:val="fr-FR" w:eastAsia="fr-FR"/>
      </w:rPr>
      <w:t xml:space="preserve">     </w:t>
    </w:r>
  </w:p>
  <w:p w:rsidR="0019036F" w:rsidRDefault="00DF2533">
    <w:pPr>
      <w:spacing w:after="0"/>
      <w:jc w:val="center"/>
    </w:pPr>
    <w:r>
      <w:rPr>
        <w:rFonts w:cs="Arial"/>
        <w:lang w:eastAsia="fr-FR"/>
      </w:rPr>
      <w:t>É</w:t>
    </w:r>
    <w:r>
      <w:rPr>
        <w:lang w:eastAsia="fr-FR"/>
      </w:rPr>
      <w:t xml:space="preserve">laboration du Plan Climat Air </w:t>
    </w:r>
    <w:r>
      <w:rPr>
        <w:rFonts w:cs="Arial"/>
        <w:lang w:eastAsia="fr-FR"/>
      </w:rPr>
      <w:t>É</w:t>
    </w:r>
    <w:r>
      <w:rPr>
        <w:lang w:eastAsia="fr-FR"/>
      </w:rPr>
      <w:t>nergie Territorial</w:t>
    </w:r>
  </w:p>
  <w:p w:rsidR="0019036F" w:rsidRDefault="00DF2533">
    <w:pPr>
      <w:jc w:val="center"/>
      <w:rPr>
        <w:lang w:eastAsia="fr-FR"/>
      </w:rPr>
    </w:pPr>
    <w:r>
      <w:rPr>
        <w:lang w:eastAsia="fr-FR"/>
      </w:rPr>
      <w:t>Communauté de communes d’Avallon Vézelay Morvan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32799"/>
    <w:multiLevelType w:val="multilevel"/>
    <w:tmpl w:val="BED6C43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A674E0D"/>
    <w:multiLevelType w:val="multilevel"/>
    <w:tmpl w:val="0270CE5E"/>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11D4528"/>
    <w:multiLevelType w:val="multilevel"/>
    <w:tmpl w:val="AA8A137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1CB1C59"/>
    <w:multiLevelType w:val="multilevel"/>
    <w:tmpl w:val="8CA05090"/>
    <w:lvl w:ilvl="0">
      <w:start w:val="1"/>
      <w:numFmt w:val="bullet"/>
      <w:lvlText w:val=""/>
      <w:lvlJc w:val="left"/>
      <w:pPr>
        <w:ind w:left="1080" w:hanging="360"/>
      </w:pPr>
      <w:rPr>
        <w:rFonts w:ascii="Wingdings" w:hAnsi="Wingdings" w:cs="Wingdings" w:hint="default"/>
        <w:color w:val="0080A0"/>
        <w:sz w:val="32"/>
        <w:szCs w:val="3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3A591DA0"/>
    <w:multiLevelType w:val="multilevel"/>
    <w:tmpl w:val="533ED684"/>
    <w:lvl w:ilvl="0">
      <w:start w:val="1"/>
      <w:numFmt w:val="bullet"/>
      <w:lvlText w:val=""/>
      <w:lvlJc w:val="left"/>
      <w:pPr>
        <w:ind w:left="1080" w:hanging="360"/>
      </w:pPr>
      <w:rPr>
        <w:rFonts w:ascii="Wingdings" w:hAnsi="Wingdings" w:cs="Wingdings" w:hint="default"/>
        <w:color w:val="0080A0"/>
        <w:sz w:val="32"/>
        <w:szCs w:val="3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69610B7E"/>
    <w:multiLevelType w:val="multilevel"/>
    <w:tmpl w:val="122466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703742B0"/>
    <w:multiLevelType w:val="multilevel"/>
    <w:tmpl w:val="3E2CA2F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036F"/>
    <w:rsid w:val="0019036F"/>
    <w:rsid w:val="0022589C"/>
    <w:rsid w:val="002E2536"/>
    <w:rsid w:val="009077C0"/>
    <w:rsid w:val="00DF2533"/>
    <w:rsid w:val="00E85D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AEE92"/>
  <w15:docId w15:val="{447C85C7-7B45-49D7-B4EA-28C60F5A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Arial Unicode MS" w:hAnsi="Cambria" w:cs="Cambria"/>
        <w:kern w:val="2"/>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76" w:lineRule="auto"/>
      <w:jc w:val="both"/>
    </w:pPr>
    <w:rPr>
      <w:rFonts w:ascii="Calibri" w:hAnsi="Calibri" w:cs="Calibri"/>
      <w:sz w:val="22"/>
    </w:rPr>
  </w:style>
  <w:style w:type="paragraph" w:styleId="Titre1">
    <w:name w:val="heading 1"/>
    <w:basedOn w:val="Normal"/>
    <w:next w:val="Corpsdetexte"/>
    <w:uiPriority w:val="9"/>
    <w:qFormat/>
    <w:pPr>
      <w:keepNext/>
      <w:keepLines/>
      <w:numPr>
        <w:numId w:val="1"/>
      </w:numPr>
      <w:pBdr>
        <w:bottom w:val="single" w:sz="18" w:space="3" w:color="0080A0"/>
      </w:pBdr>
      <w:spacing w:before="120" w:after="360"/>
      <w:ind w:left="-170" w:firstLine="0"/>
      <w:outlineLvl w:val="0"/>
    </w:pPr>
    <w:rPr>
      <w:rFonts w:ascii="Trebuchet MS" w:hAnsi="Trebuchet MS" w:cs="Times New Roman"/>
      <w:bCs/>
      <w:color w:val="0080A0"/>
      <w:sz w:val="36"/>
      <w:szCs w:val="36"/>
    </w:rPr>
  </w:style>
  <w:style w:type="paragraph" w:styleId="Titre2">
    <w:name w:val="heading 2"/>
    <w:basedOn w:val="Normal"/>
    <w:next w:val="Corpsdetexte"/>
    <w:uiPriority w:val="9"/>
    <w:unhideWhenUsed/>
    <w:qFormat/>
    <w:pPr>
      <w:keepNext/>
      <w:keepLines/>
      <w:numPr>
        <w:ilvl w:val="1"/>
        <w:numId w:val="1"/>
      </w:numPr>
      <w:pBdr>
        <w:bottom w:val="single" w:sz="12" w:space="3" w:color="60C010"/>
      </w:pBdr>
      <w:spacing w:before="240" w:after="240"/>
      <w:outlineLvl w:val="1"/>
    </w:pPr>
    <w:rPr>
      <w:rFonts w:ascii="Trebuchet MS" w:hAnsi="Trebuchet MS"/>
      <w:bCs/>
      <w:color w:val="60C010"/>
      <w:sz w:val="32"/>
      <w:szCs w:val="22"/>
    </w:rPr>
  </w:style>
  <w:style w:type="paragraph" w:styleId="Titre3">
    <w:name w:val="heading 3"/>
    <w:basedOn w:val="Normal"/>
    <w:next w:val="Corpsdetexte"/>
    <w:uiPriority w:val="9"/>
    <w:semiHidden/>
    <w:unhideWhenUsed/>
    <w:qFormat/>
    <w:pPr>
      <w:keepNext/>
      <w:keepLines/>
      <w:numPr>
        <w:ilvl w:val="2"/>
        <w:numId w:val="1"/>
      </w:numPr>
      <w:pBdr>
        <w:bottom w:val="single" w:sz="18" w:space="1" w:color="ED7F50"/>
      </w:pBdr>
      <w:spacing w:before="240" w:after="240"/>
      <w:outlineLvl w:val="2"/>
    </w:pPr>
    <w:rPr>
      <w:rFonts w:ascii="Trebuchet MS" w:hAnsi="Trebuchet MS"/>
      <w:bCs/>
      <w:color w:val="ED7F50"/>
      <w:sz w:val="24"/>
    </w:rPr>
  </w:style>
  <w:style w:type="paragraph" w:styleId="Titre4">
    <w:name w:val="heading 4"/>
    <w:basedOn w:val="Normal"/>
    <w:next w:val="Corpsdetexte"/>
    <w:uiPriority w:val="9"/>
    <w:semiHidden/>
    <w:unhideWhenUsed/>
    <w:qFormat/>
    <w:pPr>
      <w:keepNext/>
      <w:keepLines/>
      <w:numPr>
        <w:ilvl w:val="3"/>
        <w:numId w:val="1"/>
      </w:numPr>
      <w:spacing w:before="200" w:after="0"/>
      <w:ind w:left="170" w:firstLine="0"/>
      <w:outlineLvl w:val="3"/>
    </w:pPr>
    <w:rPr>
      <w:rFonts w:ascii="Trebuchet MS" w:hAnsi="Trebuchet MS"/>
      <w:b/>
      <w:bCs/>
      <w:iCs/>
      <w:color w:val="595959"/>
      <w:sz w:val="24"/>
    </w:rPr>
  </w:style>
  <w:style w:type="paragraph" w:styleId="Titre5">
    <w:name w:val="heading 5"/>
    <w:basedOn w:val="Normal"/>
    <w:next w:val="Corpsdetexte"/>
    <w:uiPriority w:val="9"/>
    <w:semiHidden/>
    <w:unhideWhenUsed/>
    <w:qFormat/>
    <w:pPr>
      <w:numPr>
        <w:ilvl w:val="4"/>
        <w:numId w:val="1"/>
      </w:numPr>
      <w:ind w:left="170" w:firstLine="0"/>
      <w:jc w:val="center"/>
      <w:outlineLvl w:val="4"/>
    </w:pPr>
    <w:rPr>
      <w:rFonts w:ascii="Trebuchet MS" w:hAnsi="Trebuchet MS"/>
      <w:color w:val="595959"/>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qFormat/>
    <w:rPr>
      <w:rFonts w:ascii="Calibri" w:hAnsi="Calibri" w:cs="Calibri"/>
      <w:sz w:val="22"/>
      <w:lang w:val="en-US"/>
    </w:rPr>
  </w:style>
  <w:style w:type="character" w:customStyle="1" w:styleId="PieddepageCar">
    <w:name w:val="Pied de page Car"/>
    <w:basedOn w:val="Policepardfaut"/>
    <w:qFormat/>
    <w:rPr>
      <w:rFonts w:ascii="Calibri" w:hAnsi="Calibri" w:cs="Calibri"/>
      <w:sz w:val="16"/>
      <w:szCs w:val="16"/>
      <w:lang w:eastAsia="fr-FR"/>
    </w:rPr>
  </w:style>
  <w:style w:type="character" w:customStyle="1" w:styleId="Titre1Car">
    <w:name w:val="Titre 1 Car"/>
    <w:basedOn w:val="Policepardfaut"/>
    <w:qFormat/>
    <w:rPr>
      <w:rFonts w:ascii="Trebuchet MS" w:hAnsi="Trebuchet MS" w:cs="Times New Roman"/>
      <w:bCs/>
      <w:color w:val="0080A0"/>
      <w:sz w:val="36"/>
      <w:szCs w:val="36"/>
    </w:rPr>
  </w:style>
  <w:style w:type="character" w:customStyle="1" w:styleId="Titre2Car">
    <w:name w:val="Titre 2 Car"/>
    <w:basedOn w:val="Policepardfaut"/>
    <w:qFormat/>
    <w:rPr>
      <w:rFonts w:ascii="Trebuchet MS" w:hAnsi="Trebuchet MS"/>
      <w:bCs/>
      <w:color w:val="60C010"/>
      <w:sz w:val="32"/>
      <w:szCs w:val="22"/>
    </w:rPr>
  </w:style>
  <w:style w:type="character" w:customStyle="1" w:styleId="Titre3Car">
    <w:name w:val="Titre 3 Car"/>
    <w:basedOn w:val="Policepardfaut"/>
    <w:qFormat/>
    <w:rPr>
      <w:rFonts w:ascii="Trebuchet MS" w:hAnsi="Trebuchet MS"/>
      <w:bCs/>
      <w:color w:val="ED7F50"/>
    </w:rPr>
  </w:style>
  <w:style w:type="character" w:customStyle="1" w:styleId="TitreCar">
    <w:name w:val="Titre Car"/>
    <w:basedOn w:val="Policepardfaut"/>
    <w:qFormat/>
    <w:rPr>
      <w:rFonts w:ascii="Trebuchet MS" w:hAnsi="Trebuchet MS" w:cs="Times New Roman"/>
      <w:bCs/>
      <w:color w:val="0080A0"/>
      <w:sz w:val="56"/>
      <w:szCs w:val="56"/>
    </w:rPr>
  </w:style>
  <w:style w:type="character" w:customStyle="1" w:styleId="TextedebullesCar">
    <w:name w:val="Texte de bulles Car"/>
    <w:basedOn w:val="Policepardfaut"/>
    <w:qFormat/>
    <w:rPr>
      <w:rFonts w:ascii="Tahoma" w:hAnsi="Tahoma" w:cs="Tahoma"/>
      <w:sz w:val="16"/>
      <w:szCs w:val="16"/>
    </w:rPr>
  </w:style>
  <w:style w:type="character" w:styleId="Accentuation">
    <w:name w:val="Emphasis"/>
    <w:basedOn w:val="Policepardfaut"/>
    <w:qFormat/>
    <w:rPr>
      <w:i/>
      <w:iCs/>
      <w:sz w:val="16"/>
      <w:szCs w:val="16"/>
    </w:rPr>
  </w:style>
  <w:style w:type="character" w:customStyle="1" w:styleId="Titre4Car">
    <w:name w:val="Titre 4 Car"/>
    <w:basedOn w:val="Policepardfaut"/>
    <w:qFormat/>
    <w:rPr>
      <w:rFonts w:ascii="Trebuchet MS" w:hAnsi="Trebuchet MS"/>
      <w:b/>
      <w:bCs/>
      <w:iCs/>
      <w:color w:val="595959"/>
    </w:rPr>
  </w:style>
  <w:style w:type="character" w:customStyle="1" w:styleId="InternetLink">
    <w:name w:val="Internet Link"/>
    <w:basedOn w:val="Policepardfaut"/>
    <w:rPr>
      <w:b/>
      <w:color w:val="0080A0"/>
      <w:u w:val="single"/>
    </w:rPr>
  </w:style>
  <w:style w:type="character" w:customStyle="1" w:styleId="Titre5Car">
    <w:name w:val="Titre 5 Car"/>
    <w:basedOn w:val="Policepardfaut"/>
    <w:qFormat/>
    <w:rPr>
      <w:rFonts w:ascii="Trebuchet MS" w:hAnsi="Trebuchet MS" w:cs="Calibri"/>
      <w:color w:val="595959"/>
    </w:rPr>
  </w:style>
  <w:style w:type="character" w:customStyle="1" w:styleId="ListedepuceCar">
    <w:name w:val="Liste de puce Car"/>
    <w:basedOn w:val="Policepardfaut"/>
    <w:qFormat/>
    <w:rPr>
      <w:rFonts w:ascii="Calibri" w:hAnsi="Calibri" w:cs="Calibri"/>
      <w:sz w:val="22"/>
    </w:rPr>
  </w:style>
  <w:style w:type="character" w:customStyle="1" w:styleId="Mentionnonrsolue1">
    <w:name w:val="Mention non résolue1"/>
    <w:basedOn w:val="Policepardfaut"/>
    <w:qFormat/>
    <w:rPr>
      <w:color w:val="808080"/>
    </w:rPr>
  </w:style>
  <w:style w:type="character" w:styleId="Marquedecommentaire">
    <w:name w:val="annotation reference"/>
    <w:basedOn w:val="Policepardfaut"/>
    <w:qFormat/>
    <w:rPr>
      <w:sz w:val="16"/>
      <w:szCs w:val="16"/>
    </w:rPr>
  </w:style>
  <w:style w:type="character" w:customStyle="1" w:styleId="CommentaireCar">
    <w:name w:val="Commentaire Car"/>
    <w:basedOn w:val="Policepardfaut"/>
    <w:qFormat/>
    <w:rPr>
      <w:rFonts w:ascii="Calibri" w:hAnsi="Calibri" w:cs="Calibri"/>
      <w:sz w:val="20"/>
      <w:szCs w:val="20"/>
    </w:rPr>
  </w:style>
  <w:style w:type="character" w:customStyle="1" w:styleId="ObjetducommentaireCar">
    <w:name w:val="Objet du commentaire Car"/>
    <w:basedOn w:val="CommentaireCar"/>
    <w:qFormat/>
    <w:rPr>
      <w:rFonts w:ascii="Calibri" w:hAnsi="Calibri" w:cs="Calibri"/>
      <w:b/>
      <w:bCs/>
      <w:sz w:val="20"/>
      <w:szCs w:val="20"/>
    </w:rPr>
  </w:style>
  <w:style w:type="character" w:customStyle="1" w:styleId="st">
    <w:name w:val="st"/>
    <w:basedOn w:val="Policepardfaut"/>
    <w:qFormat/>
  </w:style>
  <w:style w:type="character" w:customStyle="1" w:styleId="ListLabel1">
    <w:name w:val="ListLabel 1"/>
    <w:qFormat/>
    <w:rPr>
      <w:color w:val="0080A0"/>
    </w:rPr>
  </w:style>
  <w:style w:type="character" w:customStyle="1" w:styleId="ListLabel2">
    <w:name w:val="ListLabel 2"/>
    <w:qFormat/>
    <w:rPr>
      <w:color w:val="60C010"/>
    </w:rPr>
  </w:style>
  <w:style w:type="character" w:customStyle="1" w:styleId="ListLabel3">
    <w:name w:val="ListLabel 3"/>
    <w:qFormat/>
    <w:rPr>
      <w:b/>
      <w:i w:val="0"/>
      <w:color w:val="60C010"/>
    </w:rPr>
  </w:style>
  <w:style w:type="character" w:customStyle="1" w:styleId="ListLabel4">
    <w:name w:val="ListLabel 4"/>
    <w:qFormat/>
    <w:rPr>
      <w:b/>
      <w:i w:val="0"/>
      <w:color w:val="ED7F50"/>
    </w:rPr>
  </w:style>
  <w:style w:type="character" w:customStyle="1" w:styleId="ListLabel5">
    <w:name w:val="ListLabel 5"/>
    <w:qFormat/>
    <w:rPr>
      <w:rFonts w:cs="Courier New"/>
      <w:color w:val="60C010"/>
    </w:rPr>
  </w:style>
  <w:style w:type="character" w:customStyle="1" w:styleId="ListLabel6">
    <w:name w:val="ListLabel 6"/>
    <w:qFormat/>
    <w:rPr>
      <w:color w:val="ED7F50"/>
    </w:rPr>
  </w:style>
  <w:style w:type="character" w:customStyle="1" w:styleId="ListLabel7">
    <w:name w:val="ListLabel 7"/>
    <w:qFormat/>
    <w:rPr>
      <w:rFonts w:cs="Courier New"/>
    </w:rPr>
  </w:style>
  <w:style w:type="character" w:customStyle="1" w:styleId="ListLabel8">
    <w:name w:val="ListLabel 8"/>
    <w:qFormat/>
    <w:rPr>
      <w:rFonts w:cs="Calibri"/>
    </w:rPr>
  </w:style>
  <w:style w:type="character" w:customStyle="1" w:styleId="Bullets">
    <w:name w:val="Bullets"/>
    <w:qFormat/>
    <w:rPr>
      <w:rFonts w:ascii="OpenSymbol" w:eastAsia="OpenSymbol" w:hAnsi="OpenSymbol" w:cs="OpenSymbol"/>
    </w:rPr>
  </w:style>
  <w:style w:type="character" w:customStyle="1" w:styleId="ListLabel9">
    <w:name w:val="ListLabel 9"/>
    <w:qFormat/>
    <w:rPr>
      <w:color w:val="0080A0"/>
    </w:rPr>
  </w:style>
  <w:style w:type="character" w:customStyle="1" w:styleId="ListLabel10">
    <w:name w:val="ListLabel 10"/>
    <w:qFormat/>
    <w:rPr>
      <w:color w:val="60C010"/>
    </w:rPr>
  </w:style>
  <w:style w:type="character" w:customStyle="1" w:styleId="ListLabel11">
    <w:name w:val="ListLabel 11"/>
    <w:qFormat/>
    <w:rPr>
      <w:b/>
      <w:i w:val="0"/>
      <w:color w:val="60C010"/>
    </w:rPr>
  </w:style>
  <w:style w:type="character" w:customStyle="1" w:styleId="ListLabel12">
    <w:name w:val="ListLabel 12"/>
    <w:qFormat/>
    <w:rPr>
      <w:b/>
      <w:i w:val="0"/>
      <w:color w:val="ED7F50"/>
    </w:rPr>
  </w:style>
  <w:style w:type="character" w:customStyle="1" w:styleId="ListLabel13">
    <w:name w:val="ListLabel 13"/>
    <w:qFormat/>
    <w:rPr>
      <w:rFonts w:cs="Courier New"/>
      <w:color w:val="60C010"/>
    </w:rPr>
  </w:style>
  <w:style w:type="character" w:customStyle="1" w:styleId="ListLabel14">
    <w:name w:val="ListLabel 14"/>
    <w:qFormat/>
    <w:rPr>
      <w:color w:val="ED7F50"/>
    </w:rPr>
  </w:style>
  <w:style w:type="character" w:customStyle="1" w:styleId="ListLabel15">
    <w:name w:val="ListLabel 15"/>
    <w:qFormat/>
    <w:rPr>
      <w:rFonts w:cs="Courier New"/>
    </w:rPr>
  </w:style>
  <w:style w:type="character" w:customStyle="1" w:styleId="ListLabel16">
    <w:name w:val="ListLabel 16"/>
    <w:qFormat/>
    <w:rPr>
      <w:rFonts w:cs="Calibri"/>
    </w:rPr>
  </w:style>
  <w:style w:type="character" w:customStyle="1" w:styleId="ListLabel17">
    <w:name w:val="ListLabel 17"/>
    <w:qFormat/>
    <w:rPr>
      <w:rFonts w:eastAsia="OpenSymbol" w:cs="OpenSymbol"/>
    </w:rPr>
  </w:style>
  <w:style w:type="character" w:customStyle="1" w:styleId="ListLabel18">
    <w:name w:val="ListLabel 18"/>
    <w:qFormat/>
    <w:rPr>
      <w:color w:val="0080A0"/>
      <w:sz w:val="32"/>
      <w:szCs w:val="32"/>
    </w:rPr>
  </w:style>
  <w:style w:type="character" w:customStyle="1" w:styleId="ListLabel19">
    <w:name w:val="ListLabel 19"/>
    <w:qFormat/>
    <w:rPr>
      <w:color w:val="0080A0"/>
    </w:rPr>
  </w:style>
  <w:style w:type="character" w:customStyle="1" w:styleId="ListLabel20">
    <w:name w:val="ListLabel 20"/>
    <w:qFormat/>
    <w:rPr>
      <w:color w:val="60C010"/>
    </w:rPr>
  </w:style>
  <w:style w:type="character" w:customStyle="1" w:styleId="ListLabel21">
    <w:name w:val="ListLabel 21"/>
    <w:qFormat/>
    <w:rPr>
      <w:b/>
      <w:i w:val="0"/>
      <w:color w:val="60C010"/>
    </w:rPr>
  </w:style>
  <w:style w:type="character" w:customStyle="1" w:styleId="ListLabel22">
    <w:name w:val="ListLabel 22"/>
    <w:qFormat/>
    <w:rPr>
      <w:b/>
      <w:i w:val="0"/>
      <w:color w:val="ED7F50"/>
    </w:rPr>
  </w:style>
  <w:style w:type="character" w:customStyle="1" w:styleId="ListLabel23">
    <w:name w:val="ListLabel 23"/>
    <w:qFormat/>
    <w:rPr>
      <w:rFonts w:cs="Courier New"/>
      <w:color w:val="60C010"/>
    </w:rPr>
  </w:style>
  <w:style w:type="character" w:customStyle="1" w:styleId="ListLabel24">
    <w:name w:val="ListLabel 24"/>
    <w:qFormat/>
    <w:rPr>
      <w:color w:val="ED7F50"/>
    </w:rPr>
  </w:style>
  <w:style w:type="character" w:customStyle="1" w:styleId="ListLabel25">
    <w:name w:val="ListLabel 25"/>
    <w:qFormat/>
    <w:rPr>
      <w:rFonts w:cs="Courier New"/>
    </w:rPr>
  </w:style>
  <w:style w:type="character" w:customStyle="1" w:styleId="ListLabel26">
    <w:name w:val="ListLabel 26"/>
    <w:qFormat/>
    <w:rPr>
      <w:rFonts w:cs="Calibri"/>
    </w:rPr>
  </w:style>
  <w:style w:type="character" w:customStyle="1" w:styleId="ListLabel27">
    <w:name w:val="ListLabel 27"/>
    <w:qFormat/>
    <w:rPr>
      <w:rFonts w:eastAsia="OpenSymbol" w:cs="OpenSymbol"/>
    </w:rPr>
  </w:style>
  <w:style w:type="character" w:customStyle="1" w:styleId="ListLabel28">
    <w:name w:val="ListLabel 28"/>
    <w:qFormat/>
    <w:rPr>
      <w:color w:val="0080A0"/>
      <w:sz w:val="32"/>
      <w:szCs w:val="32"/>
    </w:rPr>
  </w:style>
  <w:style w:type="character" w:customStyle="1" w:styleId="NumberingSymbols">
    <w:name w:val="Numbering Symbols"/>
    <w:qFormat/>
  </w:style>
  <w:style w:type="paragraph" w:customStyle="1" w:styleId="Heading">
    <w:name w:val="Heading"/>
    <w:basedOn w:val="Normal"/>
    <w:next w:val="Corpsdetexte"/>
    <w:qFormat/>
    <w:pPr>
      <w:keepNext/>
      <w:spacing w:before="240"/>
    </w:pPr>
    <w:rPr>
      <w:rFonts w:ascii="Arial" w:hAnsi="Arial" w:cs="Arial Unicode MS"/>
      <w:sz w:val="28"/>
      <w:szCs w:val="28"/>
    </w:rPr>
  </w:style>
  <w:style w:type="paragraph" w:styleId="Corpsdetexte">
    <w:name w:val="Body Text"/>
    <w:basedOn w:val="Normal"/>
  </w:style>
  <w:style w:type="paragraph" w:styleId="Liste">
    <w:name w:val="List"/>
    <w:basedOn w:val="Corpsdetexte"/>
  </w:style>
  <w:style w:type="paragraph" w:styleId="Lgende">
    <w:name w:val="caption"/>
    <w:basedOn w:val="Normal"/>
    <w:qFormat/>
    <w:pPr>
      <w:suppressLineNumbers/>
      <w:spacing w:before="120"/>
    </w:pPr>
    <w:rPr>
      <w:i/>
      <w:iCs/>
      <w:sz w:val="24"/>
    </w:rPr>
  </w:style>
  <w:style w:type="paragraph" w:customStyle="1" w:styleId="Index">
    <w:name w:val="Index"/>
    <w:basedOn w:val="Normal"/>
    <w:qFormat/>
    <w:pPr>
      <w:suppressLineNumbers/>
    </w:pPr>
  </w:style>
  <w:style w:type="paragraph" w:styleId="En-tte">
    <w:name w:val="header"/>
    <w:basedOn w:val="Normal"/>
    <w:pPr>
      <w:suppressLineNumbers/>
      <w:tabs>
        <w:tab w:val="center" w:pos="4153"/>
        <w:tab w:val="right" w:pos="9781"/>
      </w:tabs>
      <w:spacing w:after="0" w:line="240" w:lineRule="auto"/>
      <w:jc w:val="center"/>
    </w:pPr>
    <w:rPr>
      <w:lang w:val="en-US"/>
    </w:rPr>
  </w:style>
  <w:style w:type="paragraph" w:styleId="Pieddepage">
    <w:name w:val="footer"/>
    <w:basedOn w:val="Normal"/>
    <w:pPr>
      <w:suppressLineNumbers/>
      <w:tabs>
        <w:tab w:val="center" w:pos="4153"/>
        <w:tab w:val="right" w:pos="8306"/>
      </w:tabs>
      <w:jc w:val="center"/>
    </w:pPr>
    <w:rPr>
      <w:sz w:val="16"/>
      <w:szCs w:val="16"/>
      <w:lang w:eastAsia="fr-FR"/>
    </w:rPr>
  </w:style>
  <w:style w:type="paragraph" w:styleId="Titre">
    <w:name w:val="Title"/>
    <w:basedOn w:val="Normal"/>
    <w:next w:val="Sous-titre"/>
    <w:uiPriority w:val="10"/>
    <w:qFormat/>
    <w:pPr>
      <w:spacing w:before="300" w:after="300"/>
      <w:jc w:val="center"/>
    </w:pPr>
    <w:rPr>
      <w:rFonts w:ascii="Trebuchet MS" w:hAnsi="Trebuchet MS" w:cs="Times New Roman"/>
      <w:b/>
      <w:bCs/>
      <w:color w:val="0080A0"/>
      <w:sz w:val="56"/>
      <w:szCs w:val="56"/>
    </w:rPr>
  </w:style>
  <w:style w:type="paragraph" w:styleId="Sous-titre">
    <w:name w:val="Subtitle"/>
    <w:basedOn w:val="Heading"/>
    <w:next w:val="Corpsdetexte"/>
    <w:uiPriority w:val="11"/>
    <w:qFormat/>
    <w:pPr>
      <w:jc w:val="center"/>
    </w:pPr>
    <w:rPr>
      <w:i/>
      <w:iCs/>
    </w:rPr>
  </w:style>
  <w:style w:type="paragraph" w:styleId="Paragraphedeliste">
    <w:name w:val="List Paragraph"/>
    <w:basedOn w:val="Normal"/>
    <w:qFormat/>
    <w:pPr>
      <w:ind w:left="720"/>
    </w:pPr>
  </w:style>
  <w:style w:type="paragraph" w:styleId="Textedebulles">
    <w:name w:val="Balloon Text"/>
    <w:basedOn w:val="Normal"/>
    <w:qFormat/>
    <w:pPr>
      <w:spacing w:after="0"/>
    </w:pPr>
    <w:rPr>
      <w:rFonts w:ascii="Tahoma" w:hAnsi="Tahoma" w:cs="Tahoma"/>
      <w:sz w:val="16"/>
      <w:szCs w:val="16"/>
    </w:rPr>
  </w:style>
  <w:style w:type="paragraph" w:styleId="TM1">
    <w:name w:val="toc 1"/>
    <w:basedOn w:val="Normal"/>
    <w:pPr>
      <w:tabs>
        <w:tab w:val="left" w:pos="480"/>
        <w:tab w:val="right" w:leader="dot" w:pos="9781"/>
      </w:tabs>
      <w:spacing w:after="100"/>
    </w:pPr>
    <w:rPr>
      <w:rFonts w:ascii="Trebuchet MS" w:eastAsia="Times" w:hAnsi="Trebuchet MS" w:cs="Times New Roman"/>
      <w:b/>
      <w:color w:val="60C010"/>
      <w:lang w:eastAsia="fr-FR"/>
    </w:rPr>
  </w:style>
  <w:style w:type="paragraph" w:styleId="TM2">
    <w:name w:val="toc 2"/>
    <w:basedOn w:val="Normal"/>
    <w:pPr>
      <w:tabs>
        <w:tab w:val="right" w:leader="dot" w:pos="10261"/>
      </w:tabs>
      <w:spacing w:after="100"/>
      <w:ind w:left="240"/>
    </w:pPr>
    <w:rPr>
      <w:rFonts w:eastAsia="Times" w:cs="Times New Roman"/>
      <w:lang w:eastAsia="fr-FR"/>
    </w:rPr>
  </w:style>
  <w:style w:type="paragraph" w:styleId="TM3">
    <w:name w:val="toc 3"/>
    <w:basedOn w:val="Normal"/>
    <w:pPr>
      <w:tabs>
        <w:tab w:val="right" w:leader="dot" w:pos="10661"/>
      </w:tabs>
      <w:spacing w:after="100"/>
      <w:ind w:left="440"/>
    </w:pPr>
  </w:style>
  <w:style w:type="paragraph" w:styleId="TitreTR">
    <w:name w:val="toa heading"/>
    <w:basedOn w:val="Titre1"/>
    <w:pPr>
      <w:numPr>
        <w:numId w:val="0"/>
      </w:numPr>
      <w:suppressLineNumbers/>
      <w:spacing w:after="0"/>
      <w:ind w:left="-170"/>
      <w:jc w:val="left"/>
    </w:pPr>
    <w:rPr>
      <w:rFonts w:ascii="Calibri" w:hAnsi="Calibri"/>
      <w:b/>
      <w:color w:val="005F77"/>
      <w:sz w:val="28"/>
      <w:szCs w:val="28"/>
      <w:lang w:eastAsia="fr-FR"/>
    </w:rPr>
  </w:style>
  <w:style w:type="paragraph" w:customStyle="1" w:styleId="Listedepuce">
    <w:name w:val="Liste de puce"/>
    <w:qFormat/>
    <w:pPr>
      <w:jc w:val="both"/>
    </w:pPr>
    <w:rPr>
      <w:rFonts w:ascii="Calibri" w:hAnsi="Calibri" w:cs="Calibri"/>
      <w:sz w:val="22"/>
    </w:rPr>
  </w:style>
  <w:style w:type="paragraph" w:styleId="Commentaire">
    <w:name w:val="annotation text"/>
    <w:basedOn w:val="Normal"/>
    <w:qFormat/>
    <w:pPr>
      <w:spacing w:line="240" w:lineRule="auto"/>
    </w:pPr>
    <w:rPr>
      <w:sz w:val="20"/>
      <w:szCs w:val="20"/>
    </w:rPr>
  </w:style>
  <w:style w:type="paragraph" w:styleId="Objetducommentaire">
    <w:name w:val="annotation subject"/>
    <w:basedOn w:val="Commentaire"/>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7215</TotalTime>
  <Pages>5</Pages>
  <Words>1306</Words>
  <Characters>7187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dc:description/>
  <cp:lastModifiedBy>CC AVM</cp:lastModifiedBy>
  <cp:revision>316</cp:revision>
  <cp:lastPrinted>2013-10-22T12:59:00Z</cp:lastPrinted>
  <dcterms:created xsi:type="dcterms:W3CDTF">2019-05-20T09:01:00Z</dcterms:created>
  <dcterms:modified xsi:type="dcterms:W3CDTF">2019-06-07T09:24:00Z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